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7053" w:rsidRDefault="00753626" w:rsidP="003A09B6">
      <w:pPr>
        <w:ind w:left="360"/>
        <w:jc w:val="center"/>
        <w:rPr>
          <w:rFonts w:cs="Calibri"/>
          <w:b/>
          <w:sz w:val="72"/>
          <w:szCs w:val="72"/>
        </w:rPr>
      </w:pPr>
      <w:r w:rsidRPr="000014FD">
        <w:rPr>
          <w:color w:val="0000FF"/>
        </w:rPr>
        <w:fldChar w:fldCharType="begin"/>
      </w:r>
      <w:r w:rsidRPr="000014FD">
        <w:rPr>
          <w:color w:val="0000FF"/>
        </w:rPr>
        <w:instrText xml:space="preserve"> INCLUDEPICTURE "http://www.lutrija.hr/DesignTemplates/Lutrija_content/images/_gui/logo.jpg" \* MERGEFORMATINET </w:instrText>
      </w:r>
      <w:r w:rsidRPr="000014FD">
        <w:rPr>
          <w:color w:val="0000FF"/>
        </w:rPr>
        <w:fldChar w:fldCharType="separate"/>
      </w:r>
      <w:r w:rsidR="00404756">
        <w:rPr>
          <w:color w:val="0000FF"/>
        </w:rPr>
        <w:fldChar w:fldCharType="begin"/>
      </w:r>
      <w:r w:rsidR="00404756">
        <w:rPr>
          <w:color w:val="0000FF"/>
        </w:rPr>
        <w:instrText xml:space="preserve"> INCLUDEPICTURE  "http://www.lutrija.hr/DesignTemplates/Lutrija_content/images/_gui/logo.jpg" \* MERGEFORMATINET </w:instrText>
      </w:r>
      <w:r w:rsidR="00404756">
        <w:rPr>
          <w:color w:val="0000FF"/>
        </w:rPr>
        <w:fldChar w:fldCharType="separate"/>
      </w:r>
      <w:r w:rsidR="00A2037F">
        <w:rPr>
          <w:color w:val="0000FF"/>
        </w:rPr>
        <w:fldChar w:fldCharType="begin"/>
      </w:r>
      <w:r w:rsidR="00A2037F">
        <w:rPr>
          <w:color w:val="0000FF"/>
        </w:rPr>
        <w:instrText xml:space="preserve"> INCLUDEPICTURE  "http://www.lutrija.hr/DesignTemplates/Lutrija_content/images/_gui/logo.jpg" \* MERGEFORMATINET </w:instrText>
      </w:r>
      <w:r w:rsidR="00A2037F">
        <w:rPr>
          <w:color w:val="0000FF"/>
        </w:rPr>
        <w:fldChar w:fldCharType="separate"/>
      </w:r>
      <w:r w:rsidR="008303D7">
        <w:rPr>
          <w:color w:val="0000FF"/>
        </w:rPr>
        <w:fldChar w:fldCharType="begin"/>
      </w:r>
      <w:r w:rsidR="008303D7">
        <w:rPr>
          <w:color w:val="0000FF"/>
        </w:rPr>
        <w:instrText xml:space="preserve"> INCLUDEPICTURE  "http://www.lutrija.hr/DesignTemplates/Lutrija_content/images/_gui/logo.jpg" \* MERGEFORMATINET </w:instrText>
      </w:r>
      <w:r w:rsidR="008303D7">
        <w:rPr>
          <w:color w:val="0000FF"/>
        </w:rPr>
        <w:fldChar w:fldCharType="separate"/>
      </w:r>
      <w:r w:rsidR="00F50262">
        <w:rPr>
          <w:color w:val="0000FF"/>
        </w:rPr>
        <w:fldChar w:fldCharType="begin"/>
      </w:r>
      <w:r w:rsidR="00F50262">
        <w:rPr>
          <w:color w:val="0000FF"/>
        </w:rPr>
        <w:instrText xml:space="preserve"> INCLUDEPICTURE  "http://www.lutrija.hr/DesignTemplates/Lutrija_content/images/_gui/logo.jpg" \* MERGEFORMATINET </w:instrText>
      </w:r>
      <w:r w:rsidR="00F50262">
        <w:rPr>
          <w:color w:val="0000FF"/>
        </w:rPr>
        <w:fldChar w:fldCharType="separate"/>
      </w:r>
      <w:r w:rsidR="00B20829">
        <w:rPr>
          <w:color w:val="0000FF"/>
        </w:rPr>
        <w:fldChar w:fldCharType="begin"/>
      </w:r>
      <w:r w:rsidR="00B20829">
        <w:rPr>
          <w:color w:val="0000FF"/>
        </w:rPr>
        <w:instrText xml:space="preserve"> INCLUDEPICTURE  "http://www.lutrija.hr/DesignTemplates/Lutrija_content/images/_gui/logo.jpg" \* MERGEFORMATINET </w:instrText>
      </w:r>
      <w:r w:rsidR="00B20829">
        <w:rPr>
          <w:color w:val="0000FF"/>
        </w:rPr>
        <w:fldChar w:fldCharType="separate"/>
      </w:r>
      <w:r w:rsidR="00A62E45">
        <w:rPr>
          <w:color w:val="0000FF"/>
        </w:rPr>
        <w:fldChar w:fldCharType="begin"/>
      </w:r>
      <w:r w:rsidR="00A62E45">
        <w:rPr>
          <w:color w:val="0000FF"/>
        </w:rPr>
        <w:instrText xml:space="preserve"> INCLUDEPICTURE  "http://www.lutrija.hr/DesignTemplates/Lutrija_content/images/_gui/logo.jpg" \* MERGEFORMATINET </w:instrText>
      </w:r>
      <w:r w:rsidR="00A62E45">
        <w:rPr>
          <w:color w:val="0000FF"/>
        </w:rPr>
        <w:fldChar w:fldCharType="separate"/>
      </w:r>
      <w:r w:rsidR="008D1AD2">
        <w:rPr>
          <w:color w:val="0000FF"/>
        </w:rPr>
        <w:fldChar w:fldCharType="begin"/>
      </w:r>
      <w:r w:rsidR="008D1AD2">
        <w:rPr>
          <w:color w:val="0000FF"/>
        </w:rPr>
        <w:instrText xml:space="preserve"> INCLUDEPICTURE  "http://www.lutrija.hr/DesignTemplates/Lutrija_content/images/_gui/logo.jpg" \* MERGEFORMATINET </w:instrText>
      </w:r>
      <w:r w:rsidR="008D1AD2">
        <w:rPr>
          <w:color w:val="0000FF"/>
        </w:rPr>
        <w:fldChar w:fldCharType="separate"/>
      </w:r>
      <w:r w:rsidR="00581473">
        <w:rPr>
          <w:color w:val="0000FF"/>
        </w:rPr>
        <w:fldChar w:fldCharType="begin"/>
      </w:r>
      <w:r w:rsidR="00581473">
        <w:rPr>
          <w:color w:val="0000FF"/>
        </w:rPr>
        <w:instrText xml:space="preserve"> INCLUDEPICTURE  "http://www.lutrija.hr/DesignTemplates/Lutrija_content/images/_gui/logo.jpg" \* MERGEFORMATINET </w:instrText>
      </w:r>
      <w:r w:rsidR="00581473">
        <w:rPr>
          <w:color w:val="0000FF"/>
        </w:rPr>
        <w:fldChar w:fldCharType="separate"/>
      </w:r>
      <w:r w:rsidR="006A4244">
        <w:rPr>
          <w:color w:val="0000FF"/>
        </w:rPr>
        <w:fldChar w:fldCharType="begin"/>
      </w:r>
      <w:r w:rsidR="006A4244">
        <w:rPr>
          <w:color w:val="0000FF"/>
        </w:rPr>
        <w:instrText xml:space="preserve"> INCLUDEPICTURE  "http://www.lutrija.hr/DesignTemplates/Lutrija_content/images/_gui/logo.jpg" \* MERGEFORMATINET </w:instrText>
      </w:r>
      <w:r w:rsidR="006A4244">
        <w:rPr>
          <w:color w:val="0000FF"/>
        </w:rPr>
        <w:fldChar w:fldCharType="separate"/>
      </w:r>
      <w:r w:rsidR="00C81C73">
        <w:rPr>
          <w:color w:val="0000FF"/>
        </w:rPr>
        <w:fldChar w:fldCharType="begin"/>
      </w:r>
      <w:r w:rsidR="00C81C73">
        <w:rPr>
          <w:color w:val="0000FF"/>
        </w:rPr>
        <w:instrText xml:space="preserve"> INCLUDEPICTURE  "http://www.lutrija.hr/DesignTemplates/Lutrija_content/images/_gui/logo.jpg" \* MERGEFORMATINET </w:instrText>
      </w:r>
      <w:r w:rsidR="00C81C73">
        <w:rPr>
          <w:color w:val="0000FF"/>
        </w:rPr>
        <w:fldChar w:fldCharType="separate"/>
      </w:r>
      <w:r w:rsidR="00C81C73">
        <w:rPr>
          <w:color w:val="0000FF"/>
        </w:rPr>
        <w:fldChar w:fldCharType="begin"/>
      </w:r>
      <w:r w:rsidR="00C81C73">
        <w:rPr>
          <w:color w:val="0000FF"/>
        </w:rPr>
        <w:instrText xml:space="preserve"> INCLUDEPICTURE  "http://www.lutrija.hr/DesignTemplates/Lutrija_content/images/_gui/logo.jpg" \* MERGEFORMATINET </w:instrText>
      </w:r>
      <w:r w:rsidR="00C81C73">
        <w:rPr>
          <w:color w:val="0000FF"/>
        </w:rPr>
        <w:fldChar w:fldCharType="separate"/>
      </w:r>
      <w:r w:rsidR="0007395B">
        <w:rPr>
          <w:color w:val="0000FF"/>
        </w:rPr>
        <w:fldChar w:fldCharType="begin"/>
      </w:r>
      <w:r w:rsidR="0007395B">
        <w:rPr>
          <w:color w:val="0000FF"/>
        </w:rPr>
        <w:instrText xml:space="preserve"> INCLUDEPICTURE  "http://www.lutrija.hr/DesignTemplates/Lutrija_content/images/_gui/logo.jpg" \* MERGEFORMATINET </w:instrText>
      </w:r>
      <w:r w:rsidR="0007395B">
        <w:rPr>
          <w:color w:val="0000FF"/>
        </w:rPr>
        <w:fldChar w:fldCharType="separate"/>
      </w:r>
      <w:r w:rsidR="00B87C15">
        <w:rPr>
          <w:color w:val="0000FF"/>
        </w:rPr>
        <w:fldChar w:fldCharType="begin"/>
      </w:r>
      <w:r w:rsidR="00B87C15">
        <w:rPr>
          <w:color w:val="0000FF"/>
        </w:rPr>
        <w:instrText xml:space="preserve"> INCLUDEPICTURE  "http://www.lutrija.hr/DesignTemplates/Lutrija_content/images/_gui/logo.jpg" \* MERGEFORMATINET </w:instrText>
      </w:r>
      <w:r w:rsidR="00B87C15">
        <w:rPr>
          <w:color w:val="0000FF"/>
        </w:rPr>
        <w:fldChar w:fldCharType="separate"/>
      </w:r>
      <w:r w:rsidR="00111EAE">
        <w:rPr>
          <w:color w:val="0000FF"/>
        </w:rPr>
        <w:fldChar w:fldCharType="begin"/>
      </w:r>
      <w:r w:rsidR="00111EAE">
        <w:rPr>
          <w:color w:val="0000FF"/>
        </w:rPr>
        <w:instrText xml:space="preserve"> INCLUDEPICTURE  "http://www.lutrija.hr/DesignTemplates/Lutrija_content/images/_gui/logo.jpg" \* MERGEFORMATINET </w:instrText>
      </w:r>
      <w:r w:rsidR="00111EAE">
        <w:rPr>
          <w:color w:val="0000FF"/>
        </w:rPr>
        <w:fldChar w:fldCharType="separate"/>
      </w:r>
      <w:r w:rsidR="00E92A61">
        <w:rPr>
          <w:color w:val="0000FF"/>
        </w:rPr>
        <w:fldChar w:fldCharType="begin"/>
      </w:r>
      <w:r w:rsidR="00E92A61">
        <w:rPr>
          <w:color w:val="0000FF"/>
        </w:rPr>
        <w:instrText xml:space="preserve"> INCLUDEPICTURE  "http://www.lutrija.hr/DesignTemplates/Lutrija_content/images/_gui/logo.jpg" \* MERGEFORMATINET </w:instrText>
      </w:r>
      <w:r w:rsidR="00E92A61">
        <w:rPr>
          <w:color w:val="0000FF"/>
        </w:rPr>
        <w:fldChar w:fldCharType="separate"/>
      </w:r>
      <w:r w:rsidR="000E0302">
        <w:rPr>
          <w:color w:val="0000FF"/>
        </w:rPr>
        <w:fldChar w:fldCharType="begin"/>
      </w:r>
      <w:r w:rsidR="000E0302">
        <w:rPr>
          <w:color w:val="0000FF"/>
        </w:rPr>
        <w:instrText xml:space="preserve"> INCLUDEPICTURE  "http://www.lutrija.hr/DesignTemplates/Lutrija_content/images/_gui/logo.jpg" \* MERGEFORMATINET </w:instrText>
      </w:r>
      <w:r w:rsidR="000E0302">
        <w:rPr>
          <w:color w:val="0000FF"/>
        </w:rPr>
        <w:fldChar w:fldCharType="separate"/>
      </w:r>
      <w:r w:rsidR="00220B0F">
        <w:rPr>
          <w:color w:val="0000FF"/>
        </w:rPr>
        <w:fldChar w:fldCharType="begin"/>
      </w:r>
      <w:r w:rsidR="00220B0F">
        <w:rPr>
          <w:color w:val="0000FF"/>
        </w:rPr>
        <w:instrText xml:space="preserve"> INCLUDEPICTURE  "http://www.lutrija.hr/DesignTemplates/Lutrija_content/images/_gui/logo.jpg" \* MERGEFORMATINET </w:instrText>
      </w:r>
      <w:r w:rsidR="00220B0F">
        <w:rPr>
          <w:color w:val="0000FF"/>
        </w:rPr>
        <w:fldChar w:fldCharType="separate"/>
      </w:r>
      <w:r w:rsidR="0050539F">
        <w:rPr>
          <w:color w:val="0000FF"/>
        </w:rPr>
        <w:fldChar w:fldCharType="begin"/>
      </w:r>
      <w:r w:rsidR="0050539F">
        <w:rPr>
          <w:color w:val="0000FF"/>
        </w:rPr>
        <w:instrText xml:space="preserve"> INCLUDEPICTURE  "http://www.lutrija.hr/DesignTemplates/Lutrija_content/images/_gui/logo.jpg" \* MERGEFORMATINET </w:instrText>
      </w:r>
      <w:r w:rsidR="0050539F">
        <w:rPr>
          <w:color w:val="0000FF"/>
        </w:rPr>
        <w:fldChar w:fldCharType="separate"/>
      </w:r>
      <w:r w:rsidR="00286E66">
        <w:rPr>
          <w:color w:val="0000FF"/>
        </w:rPr>
        <w:fldChar w:fldCharType="begin"/>
      </w:r>
      <w:r w:rsidR="00286E66">
        <w:rPr>
          <w:color w:val="0000FF"/>
        </w:rPr>
        <w:instrText xml:space="preserve"> INCLUDEPICTURE  "http://www.lutrija.hr/DesignTemplates/Lutrija_content/images/_gui/logo.jpg" \* MERGEFORMATINET </w:instrText>
      </w:r>
      <w:r w:rsidR="00286E66">
        <w:rPr>
          <w:color w:val="0000FF"/>
        </w:rPr>
        <w:fldChar w:fldCharType="separate"/>
      </w:r>
      <w:r w:rsidR="000359F1">
        <w:rPr>
          <w:color w:val="0000FF"/>
        </w:rPr>
        <w:fldChar w:fldCharType="begin"/>
      </w:r>
      <w:r w:rsidR="000359F1">
        <w:rPr>
          <w:color w:val="0000FF"/>
        </w:rPr>
        <w:instrText xml:space="preserve"> INCLUDEPICTURE  "http://www.lutrija.hr/DesignTemplates/Lutrija_content/images/_gui/logo.jpg" \* MERGEFORMATINET </w:instrText>
      </w:r>
      <w:r w:rsidR="000359F1">
        <w:rPr>
          <w:color w:val="0000FF"/>
        </w:rPr>
        <w:fldChar w:fldCharType="separate"/>
      </w:r>
      <w:r w:rsidR="00293EFB">
        <w:rPr>
          <w:color w:val="0000FF"/>
        </w:rPr>
        <w:fldChar w:fldCharType="begin"/>
      </w:r>
      <w:r w:rsidR="00293EFB">
        <w:rPr>
          <w:color w:val="0000FF"/>
        </w:rPr>
        <w:instrText xml:space="preserve"> INCLUDEPICTURE  "http://www.lutrija.hr/DesignTemplates/Lutrija_content/images/_gui/logo.jpg" \* MERGEFORMATINET </w:instrText>
      </w:r>
      <w:r w:rsidR="00293EFB">
        <w:rPr>
          <w:color w:val="0000FF"/>
        </w:rPr>
        <w:fldChar w:fldCharType="separate"/>
      </w:r>
      <w:r w:rsidR="0025454E">
        <w:rPr>
          <w:color w:val="0000FF"/>
        </w:rPr>
        <w:fldChar w:fldCharType="begin"/>
      </w:r>
      <w:r w:rsidR="0025454E">
        <w:rPr>
          <w:color w:val="0000FF"/>
        </w:rPr>
        <w:instrText xml:space="preserve"> INCLUDEPICTURE  "http://www.lutrija.hr/DesignTemplates/Lutrija_content/images/_gui/logo.jpg" \* MERGEFORMATINET </w:instrText>
      </w:r>
      <w:r w:rsidR="0025454E">
        <w:rPr>
          <w:color w:val="0000FF"/>
        </w:rPr>
        <w:fldChar w:fldCharType="separate"/>
      </w:r>
      <w:r w:rsidR="0043357B">
        <w:rPr>
          <w:color w:val="0000FF"/>
        </w:rPr>
        <w:fldChar w:fldCharType="begin"/>
      </w:r>
      <w:r w:rsidR="0043357B">
        <w:rPr>
          <w:color w:val="0000FF"/>
        </w:rPr>
        <w:instrText xml:space="preserve"> INCLUDEPICTURE  "http://www.lutrija.hr/DesignTemplates/Lutrija_content/images/_gui/logo.jpg" \* MERGEFORMATINET </w:instrText>
      </w:r>
      <w:r w:rsidR="0043357B">
        <w:rPr>
          <w:color w:val="0000FF"/>
        </w:rPr>
        <w:fldChar w:fldCharType="separate"/>
      </w:r>
      <w:r w:rsidR="00711AE4">
        <w:rPr>
          <w:color w:val="0000FF"/>
        </w:rPr>
        <w:fldChar w:fldCharType="begin"/>
      </w:r>
      <w:r w:rsidR="00711AE4">
        <w:rPr>
          <w:color w:val="0000FF"/>
        </w:rPr>
        <w:instrText xml:space="preserve"> INCLUDEPICTURE  "http://www.lutrija.hr/DesignTemplates/Lutrija_content/images/_gui/logo.jpg" \* MERGEFORMATINET </w:instrText>
      </w:r>
      <w:r w:rsidR="00711AE4">
        <w:rPr>
          <w:color w:val="0000FF"/>
        </w:rPr>
        <w:fldChar w:fldCharType="separate"/>
      </w:r>
      <w:r w:rsidR="00B54BFB">
        <w:rPr>
          <w:color w:val="0000FF"/>
        </w:rPr>
        <w:fldChar w:fldCharType="begin"/>
      </w:r>
      <w:r w:rsidR="00B54BFB">
        <w:rPr>
          <w:color w:val="0000FF"/>
        </w:rPr>
        <w:instrText xml:space="preserve"> INCLUDEPICTURE  "http://www.lutrija.hr/DesignTemplates/Lutrija_content/images/_gui/logo.jpg" \* MERGEFORMATINET </w:instrText>
      </w:r>
      <w:r w:rsidR="00B54BFB">
        <w:rPr>
          <w:color w:val="0000FF"/>
        </w:rPr>
        <w:fldChar w:fldCharType="separate"/>
      </w:r>
      <w:r w:rsidR="00DD604F">
        <w:rPr>
          <w:color w:val="0000FF"/>
        </w:rPr>
        <w:fldChar w:fldCharType="begin"/>
      </w:r>
      <w:r w:rsidR="00DD604F">
        <w:rPr>
          <w:color w:val="0000FF"/>
        </w:rPr>
        <w:instrText xml:space="preserve"> INCLUDEPICTURE  "http://www.lutrija.hr/DesignTemplates/Lutrija_content/images/_gui/logo.jpg" \* MERGEFORMATINET </w:instrText>
      </w:r>
      <w:r w:rsidR="00DD604F">
        <w:rPr>
          <w:color w:val="0000FF"/>
        </w:rPr>
        <w:fldChar w:fldCharType="separate"/>
      </w:r>
      <w:r w:rsidR="007A136F">
        <w:rPr>
          <w:color w:val="0000FF"/>
        </w:rPr>
        <w:fldChar w:fldCharType="begin"/>
      </w:r>
      <w:r w:rsidR="007A136F">
        <w:rPr>
          <w:color w:val="0000FF"/>
        </w:rPr>
        <w:instrText xml:space="preserve"> INCLUDEPICTURE  "http://www.lutrija.hr/DesignTemplates/Lutrija_content/images/_gui/logo.jpg" \* MERGEFORMATINET </w:instrText>
      </w:r>
      <w:r w:rsidR="007A136F">
        <w:rPr>
          <w:color w:val="0000FF"/>
        </w:rPr>
        <w:fldChar w:fldCharType="separate"/>
      </w:r>
      <w:r w:rsidR="005B50B2">
        <w:rPr>
          <w:color w:val="0000FF"/>
        </w:rPr>
        <w:fldChar w:fldCharType="begin"/>
      </w:r>
      <w:r w:rsidR="005B50B2">
        <w:rPr>
          <w:color w:val="0000FF"/>
        </w:rPr>
        <w:instrText xml:space="preserve"> INCLUDEPICTURE  "http://www.lutrija.hr/DesignTemplates/Lutrija_content/images/_gui/logo.jpg" \* MERGEFORMATINET </w:instrText>
      </w:r>
      <w:r w:rsidR="005B50B2">
        <w:rPr>
          <w:color w:val="0000FF"/>
        </w:rPr>
        <w:fldChar w:fldCharType="separate"/>
      </w:r>
      <w:r w:rsidR="005C0FD7">
        <w:rPr>
          <w:color w:val="0000FF"/>
        </w:rPr>
        <w:fldChar w:fldCharType="begin"/>
      </w:r>
      <w:r w:rsidR="005C0FD7">
        <w:rPr>
          <w:color w:val="0000FF"/>
        </w:rPr>
        <w:instrText xml:space="preserve"> INCLUDEPICTURE  "http://www.lutrija.hr/DesignTemplates/Lutrija_content/images/_gui/logo.jpg" \* MERGEFORMATINET </w:instrText>
      </w:r>
      <w:r w:rsidR="005C0FD7">
        <w:rPr>
          <w:color w:val="0000FF"/>
        </w:rPr>
        <w:fldChar w:fldCharType="separate"/>
      </w:r>
      <w:r w:rsidR="00913387">
        <w:rPr>
          <w:color w:val="0000FF"/>
        </w:rPr>
        <w:fldChar w:fldCharType="begin"/>
      </w:r>
      <w:r w:rsidR="00913387">
        <w:rPr>
          <w:color w:val="0000FF"/>
        </w:rPr>
        <w:instrText xml:space="preserve"> INCLUDEPICTURE  "http://www.lutrija.hr/DesignTemplates/Lutrija_content/images/_gui/logo.jpg" \* MERGEFORMATINET </w:instrText>
      </w:r>
      <w:r w:rsidR="00913387">
        <w:rPr>
          <w:color w:val="0000FF"/>
        </w:rPr>
        <w:fldChar w:fldCharType="separate"/>
      </w:r>
      <w:r w:rsidR="00581D8A">
        <w:rPr>
          <w:color w:val="0000FF"/>
        </w:rPr>
        <w:fldChar w:fldCharType="begin"/>
      </w:r>
      <w:r w:rsidR="00581D8A">
        <w:rPr>
          <w:color w:val="0000FF"/>
        </w:rPr>
        <w:instrText xml:space="preserve"> INCLUDEPICTURE  "http://www.lutrija.hr/DesignTemplates/Lutrija_content/images/_gui/logo.jpg" \* MERGEFORMATINET </w:instrText>
      </w:r>
      <w:r w:rsidR="00581D8A">
        <w:rPr>
          <w:color w:val="0000FF"/>
        </w:rPr>
        <w:fldChar w:fldCharType="separate"/>
      </w:r>
      <w:r w:rsidR="00D34951">
        <w:rPr>
          <w:color w:val="0000FF"/>
        </w:rPr>
        <w:fldChar w:fldCharType="begin"/>
      </w:r>
      <w:r w:rsidR="00D34951">
        <w:rPr>
          <w:color w:val="0000FF"/>
        </w:rPr>
        <w:instrText xml:space="preserve"> INCLUDEPICTURE  "http://www.lutrija.hr/DesignTemplates/Lutrija_content/images/_gui/logo.jpg" \* MERGEFORMATINET </w:instrText>
      </w:r>
      <w:r w:rsidR="00D34951">
        <w:rPr>
          <w:color w:val="0000FF"/>
        </w:rPr>
        <w:fldChar w:fldCharType="separate"/>
      </w:r>
      <w:r w:rsidR="00001014">
        <w:rPr>
          <w:color w:val="0000FF"/>
        </w:rPr>
        <w:fldChar w:fldCharType="begin"/>
      </w:r>
      <w:r w:rsidR="00001014">
        <w:rPr>
          <w:color w:val="0000FF"/>
        </w:rPr>
        <w:instrText xml:space="preserve"> INCLUDEPICTURE  "http://www.lutrija.hr/DesignTemplates/Lutrija_content/images/_gui/logo.jpg" \* MERGEFORMATINET </w:instrText>
      </w:r>
      <w:r w:rsidR="00001014">
        <w:rPr>
          <w:color w:val="0000FF"/>
        </w:rPr>
        <w:fldChar w:fldCharType="separate"/>
      </w:r>
      <w:r w:rsidR="00CB33B2">
        <w:rPr>
          <w:color w:val="0000FF"/>
        </w:rPr>
        <w:fldChar w:fldCharType="begin"/>
      </w:r>
      <w:r w:rsidR="00CB33B2">
        <w:rPr>
          <w:color w:val="0000FF"/>
        </w:rPr>
        <w:instrText xml:space="preserve"> INCLUDEPICTURE  "http://www.lutrija.hr/DesignTemplates/Lutrija_content/images/_gui/logo.jpg" \* MERGEFORMATINET </w:instrText>
      </w:r>
      <w:r w:rsidR="00CB33B2">
        <w:rPr>
          <w:color w:val="0000FF"/>
        </w:rPr>
        <w:fldChar w:fldCharType="separate"/>
      </w:r>
      <w:r w:rsidR="005C730A">
        <w:rPr>
          <w:color w:val="0000FF"/>
        </w:rPr>
        <w:fldChar w:fldCharType="begin"/>
      </w:r>
      <w:r w:rsidR="005C730A">
        <w:rPr>
          <w:color w:val="0000FF"/>
        </w:rPr>
        <w:instrText xml:space="preserve"> INCLUDEPICTURE  "http://www.lutrija.hr/DesignTemplates/Lutrija_content/images/_gui/logo.jpg" \* MERGEFORMATINET </w:instrText>
      </w:r>
      <w:r w:rsidR="005C730A">
        <w:rPr>
          <w:color w:val="0000FF"/>
        </w:rPr>
        <w:fldChar w:fldCharType="separate"/>
      </w:r>
      <w:r w:rsidR="0099755B">
        <w:rPr>
          <w:color w:val="0000FF"/>
        </w:rPr>
        <w:fldChar w:fldCharType="begin"/>
      </w:r>
      <w:r w:rsidR="0099755B">
        <w:rPr>
          <w:color w:val="0000FF"/>
        </w:rPr>
        <w:instrText xml:space="preserve"> INCLUDEPICTURE  "http://www.lutrija.hr/DesignTemplates/Lutrija_content/images/_gui/logo.jpg" \* MERGEFORMATINET </w:instrText>
      </w:r>
      <w:r w:rsidR="0099755B">
        <w:rPr>
          <w:color w:val="0000FF"/>
        </w:rPr>
        <w:fldChar w:fldCharType="separate"/>
      </w:r>
      <w:r w:rsidR="009D475B">
        <w:rPr>
          <w:color w:val="0000FF"/>
        </w:rPr>
        <w:fldChar w:fldCharType="begin"/>
      </w:r>
      <w:r w:rsidR="009D475B">
        <w:rPr>
          <w:color w:val="0000FF"/>
        </w:rPr>
        <w:instrText xml:space="preserve"> INCLUDEPICTURE  "http://www.lutrija.hr/DesignTemplates/Lutrija_content/images/_gui/logo.jpg" \* MERGEFORMATINET </w:instrText>
      </w:r>
      <w:r w:rsidR="009D475B">
        <w:rPr>
          <w:color w:val="0000FF"/>
        </w:rPr>
        <w:fldChar w:fldCharType="separate"/>
      </w:r>
      <w:r w:rsidR="00DE5F85">
        <w:rPr>
          <w:color w:val="0000FF"/>
        </w:rPr>
        <w:fldChar w:fldCharType="begin"/>
      </w:r>
      <w:r w:rsidR="00DE5F85">
        <w:rPr>
          <w:color w:val="0000FF"/>
        </w:rPr>
        <w:instrText xml:space="preserve"> INCLUDEPICTURE  "http://www.lutrija.hr/DesignTemplates/Lutrija_content/images/_gui/logo.jpg" \* MERGEFORMATINET </w:instrText>
      </w:r>
      <w:r w:rsidR="00DE5F85">
        <w:rPr>
          <w:color w:val="0000FF"/>
        </w:rPr>
        <w:fldChar w:fldCharType="separate"/>
      </w:r>
      <w:r w:rsidR="00B72535">
        <w:rPr>
          <w:color w:val="0000FF"/>
        </w:rPr>
        <w:fldChar w:fldCharType="begin"/>
      </w:r>
      <w:r w:rsidR="00B72535">
        <w:rPr>
          <w:color w:val="0000FF"/>
        </w:rPr>
        <w:instrText xml:space="preserve"> INCLUDEPICTURE  "http://www.lutrija.hr/DesignTemplates/Lutrija_content/images/_gui/logo.jpg" \* MERGEFORMATINET </w:instrText>
      </w:r>
      <w:r w:rsidR="00B72535">
        <w:rPr>
          <w:color w:val="0000FF"/>
        </w:rPr>
        <w:fldChar w:fldCharType="separate"/>
      </w:r>
      <w:r w:rsidR="00BD666C">
        <w:rPr>
          <w:color w:val="0000FF"/>
        </w:rPr>
        <w:fldChar w:fldCharType="begin"/>
      </w:r>
      <w:r w:rsidR="00BD666C">
        <w:rPr>
          <w:color w:val="0000FF"/>
        </w:rPr>
        <w:instrText xml:space="preserve"> INCLUDEPICTURE  "http://www.lutrija.hr/DesignTemplates/Lutrija_content/images/_gui/logo.jpg" \* MERGEFORMATINET </w:instrText>
      </w:r>
      <w:r w:rsidR="00BD666C">
        <w:rPr>
          <w:color w:val="0000FF"/>
        </w:rPr>
        <w:fldChar w:fldCharType="separate"/>
      </w:r>
      <w:r w:rsidR="00402152">
        <w:rPr>
          <w:color w:val="0000FF"/>
        </w:rPr>
        <w:fldChar w:fldCharType="begin"/>
      </w:r>
      <w:r w:rsidR="00402152">
        <w:rPr>
          <w:color w:val="0000FF"/>
        </w:rPr>
        <w:instrText xml:space="preserve"> INCLUDEPICTURE  "http://www.lutrija.hr/DesignTemplates/Lutrija_content/images/_gui/logo.jpg" \* MERGEFORMATINET </w:instrText>
      </w:r>
      <w:r w:rsidR="00402152">
        <w:rPr>
          <w:color w:val="0000FF"/>
        </w:rPr>
        <w:fldChar w:fldCharType="separate"/>
      </w:r>
      <w:r w:rsidR="00132C57">
        <w:rPr>
          <w:color w:val="0000FF"/>
        </w:rPr>
        <w:fldChar w:fldCharType="begin"/>
      </w:r>
      <w:r w:rsidR="00132C57">
        <w:rPr>
          <w:color w:val="0000FF"/>
        </w:rPr>
        <w:instrText xml:space="preserve"> INCLUDEPICTURE  "http://www.lutrija.hr/DesignTemplates/Lutrija_content/images/_gui/logo.jpg" \* MERGEFORMATINET </w:instrText>
      </w:r>
      <w:r w:rsidR="00132C57">
        <w:rPr>
          <w:color w:val="0000FF"/>
        </w:rPr>
        <w:fldChar w:fldCharType="separate"/>
      </w:r>
      <w:r w:rsidR="009C5AFC">
        <w:rPr>
          <w:color w:val="0000FF"/>
        </w:rPr>
        <w:fldChar w:fldCharType="begin"/>
      </w:r>
      <w:r w:rsidR="009C5AFC">
        <w:rPr>
          <w:color w:val="0000FF"/>
        </w:rPr>
        <w:instrText xml:space="preserve"> INCLUDEPICTURE  "http://www.lutrija.hr/DesignTemplates/Lutrija_content/images/_gui/logo.jpg" \* MERGEFORMATINET </w:instrText>
      </w:r>
      <w:r w:rsidR="009C5AFC">
        <w:rPr>
          <w:color w:val="0000FF"/>
        </w:rPr>
        <w:fldChar w:fldCharType="separate"/>
      </w:r>
      <w:r w:rsidR="00ED3E49">
        <w:rPr>
          <w:color w:val="0000FF"/>
        </w:rPr>
        <w:fldChar w:fldCharType="begin"/>
      </w:r>
      <w:r w:rsidR="00ED3E49">
        <w:rPr>
          <w:color w:val="0000FF"/>
        </w:rPr>
        <w:instrText xml:space="preserve"> INCLUDEPICTURE  "http://www.lutrija.hr/DesignTemplates/Lutrija_content/images/_gui/logo.jpg" \* MERGEFORMATINET </w:instrText>
      </w:r>
      <w:r w:rsidR="00ED3E49">
        <w:rPr>
          <w:color w:val="0000FF"/>
        </w:rPr>
        <w:fldChar w:fldCharType="separate"/>
      </w:r>
      <w:r w:rsidR="00E3447E">
        <w:rPr>
          <w:color w:val="0000FF"/>
        </w:rPr>
        <w:fldChar w:fldCharType="begin"/>
      </w:r>
      <w:r w:rsidR="00E3447E">
        <w:rPr>
          <w:color w:val="0000FF"/>
        </w:rPr>
        <w:instrText xml:space="preserve"> INCLUDEPICTURE  "http://www.lutrija.hr/DesignTemplates/Lutrija_content/images/_gui/logo.jpg" \* MERGEFORMATINET </w:instrText>
      </w:r>
      <w:r w:rsidR="00E3447E">
        <w:rPr>
          <w:color w:val="0000FF"/>
        </w:rPr>
        <w:fldChar w:fldCharType="separate"/>
      </w:r>
      <w:r w:rsidR="005E7484">
        <w:rPr>
          <w:color w:val="0000FF"/>
        </w:rPr>
        <w:fldChar w:fldCharType="begin"/>
      </w:r>
      <w:r w:rsidR="005E7484">
        <w:rPr>
          <w:color w:val="0000FF"/>
        </w:rPr>
        <w:instrText xml:space="preserve"> </w:instrText>
      </w:r>
      <w:r w:rsidR="005E7484">
        <w:rPr>
          <w:color w:val="0000FF"/>
        </w:rPr>
        <w:instrText>INCLUDEPICTURE  "http://www.lutrija.hr/DesignTemplates/Lutrija_content/images/_gui/logo.jpg" \* MERGEFORMATINET</w:instrText>
      </w:r>
      <w:r w:rsidR="005E7484">
        <w:rPr>
          <w:color w:val="0000FF"/>
        </w:rPr>
        <w:instrText xml:space="preserve"> </w:instrText>
      </w:r>
      <w:r w:rsidR="005E7484">
        <w:rPr>
          <w:color w:val="0000FF"/>
        </w:rPr>
        <w:fldChar w:fldCharType="separate"/>
      </w:r>
      <w:r w:rsidR="00537D8C">
        <w:rPr>
          <w:color w:val="0000FF"/>
        </w:rPr>
        <w:pict w14:anchorId="4A462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rvatska Lutrija" style="width:180pt;height:29.25pt" o:button="t">
            <v:imagedata r:id="rId12" r:href="rId13"/>
          </v:shape>
        </w:pict>
      </w:r>
      <w:r w:rsidR="005E7484">
        <w:rPr>
          <w:color w:val="0000FF"/>
        </w:rPr>
        <w:fldChar w:fldCharType="end"/>
      </w:r>
      <w:r w:rsidR="00E3447E">
        <w:rPr>
          <w:color w:val="0000FF"/>
        </w:rPr>
        <w:fldChar w:fldCharType="end"/>
      </w:r>
      <w:r w:rsidR="00ED3E49">
        <w:rPr>
          <w:color w:val="0000FF"/>
        </w:rPr>
        <w:fldChar w:fldCharType="end"/>
      </w:r>
      <w:r w:rsidR="009C5AFC">
        <w:rPr>
          <w:color w:val="0000FF"/>
        </w:rPr>
        <w:fldChar w:fldCharType="end"/>
      </w:r>
      <w:r w:rsidR="00132C57">
        <w:rPr>
          <w:color w:val="0000FF"/>
        </w:rPr>
        <w:fldChar w:fldCharType="end"/>
      </w:r>
      <w:r w:rsidR="00402152">
        <w:rPr>
          <w:color w:val="0000FF"/>
        </w:rPr>
        <w:fldChar w:fldCharType="end"/>
      </w:r>
      <w:r w:rsidR="00BD666C">
        <w:rPr>
          <w:color w:val="0000FF"/>
        </w:rPr>
        <w:fldChar w:fldCharType="end"/>
      </w:r>
      <w:r w:rsidR="00B72535">
        <w:rPr>
          <w:color w:val="0000FF"/>
        </w:rPr>
        <w:fldChar w:fldCharType="end"/>
      </w:r>
      <w:r w:rsidR="00DE5F85">
        <w:rPr>
          <w:color w:val="0000FF"/>
        </w:rPr>
        <w:fldChar w:fldCharType="end"/>
      </w:r>
      <w:r w:rsidR="009D475B">
        <w:rPr>
          <w:color w:val="0000FF"/>
        </w:rPr>
        <w:fldChar w:fldCharType="end"/>
      </w:r>
      <w:r w:rsidR="0099755B">
        <w:rPr>
          <w:color w:val="0000FF"/>
        </w:rPr>
        <w:fldChar w:fldCharType="end"/>
      </w:r>
      <w:r w:rsidR="005C730A">
        <w:rPr>
          <w:color w:val="0000FF"/>
        </w:rPr>
        <w:fldChar w:fldCharType="end"/>
      </w:r>
      <w:r w:rsidR="00CB33B2">
        <w:rPr>
          <w:color w:val="0000FF"/>
        </w:rPr>
        <w:fldChar w:fldCharType="end"/>
      </w:r>
      <w:r w:rsidR="00001014">
        <w:rPr>
          <w:color w:val="0000FF"/>
        </w:rPr>
        <w:fldChar w:fldCharType="end"/>
      </w:r>
      <w:r w:rsidR="00D34951">
        <w:rPr>
          <w:color w:val="0000FF"/>
        </w:rPr>
        <w:fldChar w:fldCharType="end"/>
      </w:r>
      <w:r w:rsidR="00581D8A">
        <w:rPr>
          <w:color w:val="0000FF"/>
        </w:rPr>
        <w:fldChar w:fldCharType="end"/>
      </w:r>
      <w:r w:rsidR="00913387">
        <w:rPr>
          <w:color w:val="0000FF"/>
        </w:rPr>
        <w:fldChar w:fldCharType="end"/>
      </w:r>
      <w:r w:rsidR="005C0FD7">
        <w:rPr>
          <w:color w:val="0000FF"/>
        </w:rPr>
        <w:fldChar w:fldCharType="end"/>
      </w:r>
      <w:r w:rsidR="005B50B2">
        <w:rPr>
          <w:color w:val="0000FF"/>
        </w:rPr>
        <w:fldChar w:fldCharType="end"/>
      </w:r>
      <w:r w:rsidR="007A136F">
        <w:rPr>
          <w:color w:val="0000FF"/>
        </w:rPr>
        <w:fldChar w:fldCharType="end"/>
      </w:r>
      <w:r w:rsidR="00DD604F">
        <w:rPr>
          <w:color w:val="0000FF"/>
        </w:rPr>
        <w:fldChar w:fldCharType="end"/>
      </w:r>
      <w:r w:rsidR="00B54BFB">
        <w:rPr>
          <w:color w:val="0000FF"/>
        </w:rPr>
        <w:fldChar w:fldCharType="end"/>
      </w:r>
      <w:r w:rsidR="00711AE4">
        <w:rPr>
          <w:color w:val="0000FF"/>
        </w:rPr>
        <w:fldChar w:fldCharType="end"/>
      </w:r>
      <w:r w:rsidR="0043357B">
        <w:rPr>
          <w:color w:val="0000FF"/>
        </w:rPr>
        <w:fldChar w:fldCharType="end"/>
      </w:r>
      <w:r w:rsidR="0025454E">
        <w:rPr>
          <w:color w:val="0000FF"/>
        </w:rPr>
        <w:fldChar w:fldCharType="end"/>
      </w:r>
      <w:r w:rsidR="00293EFB">
        <w:rPr>
          <w:color w:val="0000FF"/>
        </w:rPr>
        <w:fldChar w:fldCharType="end"/>
      </w:r>
      <w:r w:rsidR="000359F1">
        <w:rPr>
          <w:color w:val="0000FF"/>
        </w:rPr>
        <w:fldChar w:fldCharType="end"/>
      </w:r>
      <w:r w:rsidR="00286E66">
        <w:rPr>
          <w:color w:val="0000FF"/>
        </w:rPr>
        <w:fldChar w:fldCharType="end"/>
      </w:r>
      <w:r w:rsidR="0050539F">
        <w:rPr>
          <w:color w:val="0000FF"/>
        </w:rPr>
        <w:fldChar w:fldCharType="end"/>
      </w:r>
      <w:r w:rsidR="00220B0F">
        <w:rPr>
          <w:color w:val="0000FF"/>
        </w:rPr>
        <w:fldChar w:fldCharType="end"/>
      </w:r>
      <w:r w:rsidR="000E0302">
        <w:rPr>
          <w:color w:val="0000FF"/>
        </w:rPr>
        <w:fldChar w:fldCharType="end"/>
      </w:r>
      <w:r w:rsidR="00E92A61">
        <w:rPr>
          <w:color w:val="0000FF"/>
        </w:rPr>
        <w:fldChar w:fldCharType="end"/>
      </w:r>
      <w:r w:rsidR="00111EAE">
        <w:rPr>
          <w:color w:val="0000FF"/>
        </w:rPr>
        <w:fldChar w:fldCharType="end"/>
      </w:r>
      <w:r w:rsidR="00B87C15">
        <w:rPr>
          <w:color w:val="0000FF"/>
        </w:rPr>
        <w:fldChar w:fldCharType="end"/>
      </w:r>
      <w:r w:rsidR="0007395B">
        <w:rPr>
          <w:color w:val="0000FF"/>
        </w:rPr>
        <w:fldChar w:fldCharType="end"/>
      </w:r>
      <w:r w:rsidR="00C81C73">
        <w:rPr>
          <w:color w:val="0000FF"/>
        </w:rPr>
        <w:fldChar w:fldCharType="end"/>
      </w:r>
      <w:r w:rsidR="00C81C73">
        <w:rPr>
          <w:color w:val="0000FF"/>
        </w:rPr>
        <w:fldChar w:fldCharType="end"/>
      </w:r>
      <w:r w:rsidR="006A4244">
        <w:rPr>
          <w:color w:val="0000FF"/>
        </w:rPr>
        <w:fldChar w:fldCharType="end"/>
      </w:r>
      <w:r w:rsidR="00581473">
        <w:rPr>
          <w:color w:val="0000FF"/>
        </w:rPr>
        <w:fldChar w:fldCharType="end"/>
      </w:r>
      <w:r w:rsidR="008D1AD2">
        <w:rPr>
          <w:color w:val="0000FF"/>
        </w:rPr>
        <w:fldChar w:fldCharType="end"/>
      </w:r>
      <w:r w:rsidR="00A62E45">
        <w:rPr>
          <w:color w:val="0000FF"/>
        </w:rPr>
        <w:fldChar w:fldCharType="end"/>
      </w:r>
      <w:r w:rsidR="00B20829">
        <w:rPr>
          <w:color w:val="0000FF"/>
        </w:rPr>
        <w:fldChar w:fldCharType="end"/>
      </w:r>
      <w:r w:rsidR="00F50262">
        <w:rPr>
          <w:color w:val="0000FF"/>
        </w:rPr>
        <w:fldChar w:fldCharType="end"/>
      </w:r>
      <w:r w:rsidR="008303D7">
        <w:rPr>
          <w:color w:val="0000FF"/>
        </w:rPr>
        <w:fldChar w:fldCharType="end"/>
      </w:r>
      <w:r w:rsidR="00A2037F">
        <w:rPr>
          <w:color w:val="0000FF"/>
        </w:rPr>
        <w:fldChar w:fldCharType="end"/>
      </w:r>
      <w:r w:rsidR="00404756">
        <w:rPr>
          <w:color w:val="0000FF"/>
        </w:rPr>
        <w:fldChar w:fldCharType="end"/>
      </w:r>
      <w:r w:rsidRPr="000014FD">
        <w:rPr>
          <w:color w:val="0000FF"/>
        </w:rPr>
        <w:fldChar w:fldCharType="end"/>
      </w:r>
    </w:p>
    <w:p w:rsidR="00497053" w:rsidRDefault="00497053" w:rsidP="003A09B6">
      <w:pPr>
        <w:ind w:left="360"/>
        <w:jc w:val="center"/>
        <w:rPr>
          <w:rFonts w:cs="Calibri"/>
          <w:b/>
          <w:sz w:val="72"/>
          <w:szCs w:val="72"/>
        </w:rPr>
      </w:pPr>
    </w:p>
    <w:p w:rsidR="00753626" w:rsidRDefault="00753626" w:rsidP="00B24D26">
      <w:pPr>
        <w:rPr>
          <w:rFonts w:cs="Calibri"/>
          <w:b/>
          <w:sz w:val="72"/>
          <w:szCs w:val="72"/>
        </w:rPr>
      </w:pPr>
    </w:p>
    <w:p w:rsidR="00CC6372" w:rsidRDefault="00DE5F85" w:rsidP="003A09B6">
      <w:pPr>
        <w:ind w:left="360"/>
        <w:jc w:val="center"/>
        <w:rPr>
          <w:rFonts w:cs="Calibri"/>
          <w:b/>
          <w:sz w:val="72"/>
          <w:szCs w:val="72"/>
        </w:rPr>
      </w:pPr>
      <w:r>
        <w:rPr>
          <w:rFonts w:cs="Calibri"/>
          <w:b/>
          <w:sz w:val="72"/>
          <w:szCs w:val="72"/>
        </w:rPr>
        <w:t>TROGODIŠNJI</w:t>
      </w:r>
      <w:r w:rsidR="00CC6372">
        <w:rPr>
          <w:rFonts w:cs="Calibri"/>
          <w:b/>
          <w:sz w:val="72"/>
          <w:szCs w:val="72"/>
        </w:rPr>
        <w:t xml:space="preserve"> PLAN POSLOVANJA</w:t>
      </w:r>
      <w:r w:rsidR="009D0BA8">
        <w:rPr>
          <w:rFonts w:cs="Calibri"/>
          <w:b/>
          <w:sz w:val="72"/>
          <w:szCs w:val="72"/>
        </w:rPr>
        <w:t xml:space="preserve"> </w:t>
      </w:r>
      <w:r w:rsidR="00CC6372">
        <w:rPr>
          <w:rFonts w:cs="Calibri"/>
          <w:b/>
          <w:sz w:val="72"/>
          <w:szCs w:val="72"/>
        </w:rPr>
        <w:t xml:space="preserve">HRVATSKE LUTRIJE </w:t>
      </w:r>
      <w:r w:rsidR="009467EE">
        <w:rPr>
          <w:rFonts w:cs="Calibri"/>
          <w:b/>
          <w:sz w:val="72"/>
          <w:szCs w:val="72"/>
        </w:rPr>
        <w:t>d.o.o.</w:t>
      </w:r>
    </w:p>
    <w:p w:rsidR="009D0BA8" w:rsidRDefault="008D6955" w:rsidP="003A09B6">
      <w:pPr>
        <w:ind w:left="360"/>
        <w:jc w:val="center"/>
        <w:rPr>
          <w:rFonts w:cs="Calibri"/>
          <w:b/>
          <w:sz w:val="72"/>
          <w:szCs w:val="72"/>
        </w:rPr>
      </w:pPr>
      <w:r>
        <w:rPr>
          <w:rFonts w:cs="Calibri"/>
          <w:b/>
          <w:sz w:val="72"/>
          <w:szCs w:val="72"/>
        </w:rPr>
        <w:t>OD</w:t>
      </w:r>
      <w:r w:rsidR="00FB4981">
        <w:rPr>
          <w:rFonts w:cs="Calibri"/>
          <w:b/>
          <w:sz w:val="72"/>
          <w:szCs w:val="72"/>
        </w:rPr>
        <w:t xml:space="preserve"> 2019</w:t>
      </w:r>
      <w:r w:rsidR="00CC6372">
        <w:rPr>
          <w:rFonts w:cs="Calibri"/>
          <w:b/>
          <w:sz w:val="72"/>
          <w:szCs w:val="72"/>
        </w:rPr>
        <w:t xml:space="preserve">. </w:t>
      </w:r>
      <w:r>
        <w:rPr>
          <w:rFonts w:cs="Calibri"/>
          <w:b/>
          <w:sz w:val="72"/>
          <w:szCs w:val="72"/>
        </w:rPr>
        <w:t xml:space="preserve"> DO 2021. GODINE</w:t>
      </w:r>
    </w:p>
    <w:p w:rsidR="003A09B6" w:rsidRPr="009D475B" w:rsidRDefault="009D475B" w:rsidP="00236309">
      <w:pPr>
        <w:pStyle w:val="ListParagraph"/>
        <w:jc w:val="center"/>
        <w:rPr>
          <w:rFonts w:cs="Calibri"/>
          <w:sz w:val="44"/>
          <w:szCs w:val="44"/>
        </w:rPr>
      </w:pPr>
      <w:r w:rsidRPr="009D475B">
        <w:rPr>
          <w:rFonts w:cs="Calibri"/>
          <w:sz w:val="44"/>
          <w:szCs w:val="44"/>
        </w:rPr>
        <w:t>PRIJEDLOG</w:t>
      </w:r>
    </w:p>
    <w:p w:rsidR="003A09B6" w:rsidRDefault="003A09B6" w:rsidP="003A09B6">
      <w:pPr>
        <w:ind w:left="360"/>
        <w:jc w:val="center"/>
        <w:rPr>
          <w:rFonts w:ascii="Tahoma" w:hAnsi="Tahoma" w:cs="Tahoma"/>
          <w:b/>
          <w:sz w:val="36"/>
          <w:szCs w:val="36"/>
        </w:rPr>
      </w:pPr>
    </w:p>
    <w:p w:rsidR="003A09B6" w:rsidRDefault="003A09B6" w:rsidP="003A09B6">
      <w:pPr>
        <w:ind w:left="360"/>
        <w:jc w:val="center"/>
        <w:rPr>
          <w:rFonts w:ascii="Tahoma" w:hAnsi="Tahoma" w:cs="Tahoma"/>
          <w:b/>
          <w:sz w:val="36"/>
          <w:szCs w:val="36"/>
        </w:rPr>
      </w:pPr>
    </w:p>
    <w:p w:rsidR="009D0BA8" w:rsidRDefault="009D0BA8" w:rsidP="003A09B6">
      <w:pPr>
        <w:ind w:left="360"/>
        <w:rPr>
          <w:rFonts w:ascii="Tahoma" w:hAnsi="Tahoma" w:cs="Tahoma"/>
          <w:b/>
          <w:sz w:val="28"/>
          <w:szCs w:val="28"/>
        </w:rPr>
      </w:pPr>
    </w:p>
    <w:p w:rsidR="00DD604F" w:rsidRDefault="00DD604F" w:rsidP="003A09B6">
      <w:pPr>
        <w:ind w:left="360"/>
        <w:rPr>
          <w:rFonts w:ascii="Tahoma" w:hAnsi="Tahoma" w:cs="Tahoma"/>
          <w:b/>
          <w:sz w:val="28"/>
          <w:szCs w:val="28"/>
        </w:rPr>
      </w:pPr>
    </w:p>
    <w:p w:rsidR="0090325C" w:rsidRDefault="0090325C" w:rsidP="003A09B6">
      <w:pPr>
        <w:ind w:left="360"/>
        <w:rPr>
          <w:rFonts w:ascii="Tahoma" w:hAnsi="Tahoma" w:cs="Tahoma"/>
          <w:b/>
          <w:sz w:val="28"/>
          <w:szCs w:val="28"/>
        </w:rPr>
      </w:pPr>
    </w:p>
    <w:p w:rsidR="00174A1D" w:rsidRDefault="00174A1D" w:rsidP="00B91876">
      <w:pPr>
        <w:rPr>
          <w:rFonts w:ascii="Tahoma" w:hAnsi="Tahoma" w:cs="Tahoma"/>
          <w:b/>
          <w:sz w:val="28"/>
          <w:szCs w:val="28"/>
        </w:rPr>
      </w:pPr>
    </w:p>
    <w:p w:rsidR="00B24D26" w:rsidRDefault="00B24D26" w:rsidP="00B91876">
      <w:pPr>
        <w:rPr>
          <w:rFonts w:ascii="Tahoma" w:hAnsi="Tahoma" w:cs="Tahoma"/>
          <w:b/>
          <w:sz w:val="28"/>
          <w:szCs w:val="28"/>
        </w:rPr>
      </w:pPr>
    </w:p>
    <w:p w:rsidR="00B24D26" w:rsidRDefault="00B24D26" w:rsidP="00B91876">
      <w:pPr>
        <w:rPr>
          <w:rFonts w:ascii="Tahoma" w:hAnsi="Tahoma" w:cs="Tahoma"/>
          <w:b/>
          <w:sz w:val="28"/>
          <w:szCs w:val="28"/>
        </w:rPr>
      </w:pPr>
    </w:p>
    <w:p w:rsidR="00B24D26" w:rsidRDefault="00B24D26" w:rsidP="00B91876">
      <w:pPr>
        <w:rPr>
          <w:rFonts w:ascii="Tahoma" w:hAnsi="Tahoma" w:cs="Tahoma"/>
          <w:b/>
          <w:sz w:val="28"/>
          <w:szCs w:val="28"/>
        </w:rPr>
      </w:pPr>
    </w:p>
    <w:p w:rsidR="00B11DC1" w:rsidRDefault="00B11DC1" w:rsidP="00B91876">
      <w:pPr>
        <w:rPr>
          <w:rFonts w:ascii="Tahoma" w:hAnsi="Tahoma" w:cs="Tahoma"/>
          <w:b/>
          <w:sz w:val="28"/>
          <w:szCs w:val="28"/>
        </w:rPr>
      </w:pPr>
    </w:p>
    <w:p w:rsidR="00B11DC1" w:rsidRDefault="00B11DC1" w:rsidP="00B91876">
      <w:pPr>
        <w:rPr>
          <w:rFonts w:ascii="Tahoma" w:hAnsi="Tahoma" w:cs="Tahoma"/>
          <w:b/>
          <w:sz w:val="28"/>
          <w:szCs w:val="28"/>
        </w:rPr>
      </w:pPr>
    </w:p>
    <w:p w:rsidR="00600A9C" w:rsidRDefault="00600A9C" w:rsidP="00B91876">
      <w:pPr>
        <w:rPr>
          <w:rFonts w:cs="Calibri"/>
        </w:rPr>
      </w:pPr>
      <w:r>
        <w:rPr>
          <w:rFonts w:cs="Calibri"/>
        </w:rPr>
        <w:t>Sadržaj:</w:t>
      </w:r>
    </w:p>
    <w:p w:rsidR="00CA1CF3" w:rsidRDefault="003A09B6">
      <w:pPr>
        <w:pStyle w:val="TOC1"/>
        <w:rPr>
          <w:rFonts w:asciiTheme="minorHAnsi" w:eastAsiaTheme="minorEastAsia" w:hAnsiTheme="minorHAnsi" w:cstheme="minorBidi"/>
          <w:b w:val="0"/>
        </w:rPr>
      </w:pPr>
      <w:r w:rsidRPr="00E03894">
        <w:rPr>
          <w:b w:val="0"/>
        </w:rPr>
        <w:fldChar w:fldCharType="begin"/>
      </w:r>
      <w:r w:rsidRPr="005335A4">
        <w:rPr>
          <w:b w:val="0"/>
        </w:rPr>
        <w:instrText xml:space="preserve"> TOC \o "1-3" \h \z \u </w:instrText>
      </w:r>
      <w:r w:rsidRPr="00E03894">
        <w:rPr>
          <w:b w:val="0"/>
        </w:rPr>
        <w:fldChar w:fldCharType="separate"/>
      </w:r>
      <w:hyperlink w:anchor="_Toc533660847" w:history="1">
        <w:r w:rsidR="00CA1CF3" w:rsidRPr="00B16C94">
          <w:rPr>
            <w:rStyle w:val="Hyperlink"/>
          </w:rPr>
          <w:t>I.</w:t>
        </w:r>
        <w:r w:rsidR="00CA1CF3">
          <w:rPr>
            <w:rFonts w:asciiTheme="minorHAnsi" w:eastAsiaTheme="minorEastAsia" w:hAnsiTheme="minorHAnsi" w:cstheme="minorBidi"/>
            <w:b w:val="0"/>
          </w:rPr>
          <w:tab/>
        </w:r>
        <w:r w:rsidR="00CA1CF3" w:rsidRPr="00B16C94">
          <w:rPr>
            <w:rStyle w:val="Hyperlink"/>
          </w:rPr>
          <w:t>OSNOVNI PODACI</w:t>
        </w:r>
        <w:r w:rsidR="00CA1CF3">
          <w:rPr>
            <w:webHidden/>
          </w:rPr>
          <w:tab/>
        </w:r>
        <w:r w:rsidR="00CA1CF3">
          <w:rPr>
            <w:webHidden/>
          </w:rPr>
          <w:fldChar w:fldCharType="begin"/>
        </w:r>
        <w:r w:rsidR="00CA1CF3">
          <w:rPr>
            <w:webHidden/>
          </w:rPr>
          <w:instrText xml:space="preserve"> PAGEREF _Toc533660847 \h </w:instrText>
        </w:r>
        <w:r w:rsidR="00CA1CF3">
          <w:rPr>
            <w:webHidden/>
          </w:rPr>
        </w:r>
        <w:r w:rsidR="00CA1CF3">
          <w:rPr>
            <w:webHidden/>
          </w:rPr>
          <w:fldChar w:fldCharType="separate"/>
        </w:r>
        <w:r w:rsidR="00CA1CF3">
          <w:rPr>
            <w:webHidden/>
          </w:rPr>
          <w:t>- 3 -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48" w:history="1">
        <w:r w:rsidR="00CA1CF3" w:rsidRPr="00B16C94">
          <w:rPr>
            <w:rStyle w:val="Hyperlink"/>
          </w:rPr>
          <w:t>II.</w:t>
        </w:r>
        <w:r w:rsidR="00CA1CF3">
          <w:rPr>
            <w:rFonts w:asciiTheme="minorHAnsi" w:eastAsiaTheme="minorEastAsia" w:hAnsiTheme="minorHAnsi" w:cstheme="minorBidi"/>
            <w:b w:val="0"/>
          </w:rPr>
          <w:tab/>
        </w:r>
        <w:r w:rsidR="00CA1CF3" w:rsidRPr="00B16C94">
          <w:rPr>
            <w:rStyle w:val="Hyperlink"/>
          </w:rPr>
          <w:t>SAŽETAK</w:t>
        </w:r>
        <w:r w:rsidR="00CA1CF3">
          <w:rPr>
            <w:webHidden/>
          </w:rPr>
          <w:tab/>
        </w:r>
        <w:r w:rsidR="00CA1CF3">
          <w:rPr>
            <w:webHidden/>
          </w:rPr>
          <w:fldChar w:fldCharType="begin"/>
        </w:r>
        <w:r w:rsidR="00CA1CF3">
          <w:rPr>
            <w:webHidden/>
          </w:rPr>
          <w:instrText xml:space="preserve"> PAGEREF _Toc533660848 \h </w:instrText>
        </w:r>
        <w:r w:rsidR="00CA1CF3">
          <w:rPr>
            <w:webHidden/>
          </w:rPr>
        </w:r>
        <w:r w:rsidR="00CA1CF3">
          <w:rPr>
            <w:webHidden/>
          </w:rPr>
          <w:fldChar w:fldCharType="separate"/>
        </w:r>
        <w:r w:rsidR="00CA1CF3">
          <w:rPr>
            <w:webHidden/>
          </w:rPr>
          <w:t>- 4 -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49" w:history="1">
        <w:r w:rsidR="00CA1CF3" w:rsidRPr="00B16C94">
          <w:rPr>
            <w:rStyle w:val="Hyperlink"/>
          </w:rPr>
          <w:t>III.</w:t>
        </w:r>
        <w:r w:rsidR="00CA1CF3">
          <w:rPr>
            <w:rFonts w:asciiTheme="minorHAnsi" w:eastAsiaTheme="minorEastAsia" w:hAnsiTheme="minorHAnsi" w:cstheme="minorBidi"/>
            <w:b w:val="0"/>
          </w:rPr>
          <w:tab/>
        </w:r>
        <w:r w:rsidR="00CA1CF3" w:rsidRPr="00B16C94">
          <w:rPr>
            <w:rStyle w:val="Hyperlink"/>
          </w:rPr>
          <w:t>ANALIZA OKRUŽENJA</w:t>
        </w:r>
        <w:r w:rsidR="00CA1CF3">
          <w:rPr>
            <w:webHidden/>
          </w:rPr>
          <w:tab/>
        </w:r>
        <w:r w:rsidR="00CA1CF3">
          <w:rPr>
            <w:webHidden/>
          </w:rPr>
          <w:fldChar w:fldCharType="begin"/>
        </w:r>
        <w:r w:rsidR="00CA1CF3">
          <w:rPr>
            <w:webHidden/>
          </w:rPr>
          <w:instrText xml:space="preserve"> PAGEREF _Toc533660849 \h </w:instrText>
        </w:r>
        <w:r w:rsidR="00CA1CF3">
          <w:rPr>
            <w:webHidden/>
          </w:rPr>
        </w:r>
        <w:r w:rsidR="00CA1CF3">
          <w:rPr>
            <w:webHidden/>
          </w:rPr>
          <w:fldChar w:fldCharType="separate"/>
        </w:r>
        <w:r w:rsidR="00CA1CF3">
          <w:rPr>
            <w:webHidden/>
          </w:rPr>
          <w:t>- 4 -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50" w:history="1">
        <w:r w:rsidR="00CA1CF3" w:rsidRPr="00B16C94">
          <w:rPr>
            <w:rStyle w:val="Hyperlink"/>
          </w:rPr>
          <w:t>3.1.</w:t>
        </w:r>
        <w:r w:rsidR="00CA1CF3">
          <w:rPr>
            <w:rFonts w:asciiTheme="minorHAnsi" w:eastAsiaTheme="minorEastAsia" w:hAnsiTheme="minorHAnsi" w:cstheme="minorBidi"/>
            <w:b w:val="0"/>
          </w:rPr>
          <w:tab/>
        </w:r>
        <w:r w:rsidR="00CA1CF3" w:rsidRPr="00B16C94">
          <w:rPr>
            <w:rStyle w:val="Hyperlink"/>
          </w:rPr>
          <w:t>Suzbijanje ilegalnog klađenja i efekti na Državni proračun</w:t>
        </w:r>
        <w:r w:rsidR="00CA1CF3">
          <w:rPr>
            <w:webHidden/>
          </w:rPr>
          <w:tab/>
        </w:r>
        <w:r w:rsidR="00CA1CF3">
          <w:rPr>
            <w:webHidden/>
          </w:rPr>
          <w:fldChar w:fldCharType="begin"/>
        </w:r>
        <w:r w:rsidR="00CA1CF3">
          <w:rPr>
            <w:webHidden/>
          </w:rPr>
          <w:instrText xml:space="preserve"> PAGEREF _Toc533660850 \h </w:instrText>
        </w:r>
        <w:r w:rsidR="00CA1CF3">
          <w:rPr>
            <w:webHidden/>
          </w:rPr>
        </w:r>
        <w:r w:rsidR="00CA1CF3">
          <w:rPr>
            <w:webHidden/>
          </w:rPr>
          <w:fldChar w:fldCharType="separate"/>
        </w:r>
        <w:r w:rsidR="00CA1CF3">
          <w:rPr>
            <w:webHidden/>
          </w:rPr>
          <w:t>- 5 -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51" w:history="1">
        <w:r w:rsidR="00CA1CF3" w:rsidRPr="00B16C94">
          <w:rPr>
            <w:rStyle w:val="Hyperlink"/>
          </w:rPr>
          <w:t>3.2.</w:t>
        </w:r>
        <w:r w:rsidR="00CA1CF3">
          <w:rPr>
            <w:rFonts w:asciiTheme="minorHAnsi" w:eastAsiaTheme="minorEastAsia" w:hAnsiTheme="minorHAnsi" w:cstheme="minorBidi"/>
            <w:b w:val="0"/>
          </w:rPr>
          <w:tab/>
        </w:r>
        <w:r w:rsidR="00CA1CF3" w:rsidRPr="00B16C94">
          <w:rPr>
            <w:rStyle w:val="Hyperlink"/>
          </w:rPr>
          <w:t>Promjene makroekonomskog okruženja</w:t>
        </w:r>
        <w:r w:rsidR="00CA1CF3">
          <w:rPr>
            <w:webHidden/>
          </w:rPr>
          <w:tab/>
        </w:r>
        <w:r w:rsidR="00CA1CF3">
          <w:rPr>
            <w:webHidden/>
          </w:rPr>
          <w:fldChar w:fldCharType="begin"/>
        </w:r>
        <w:r w:rsidR="00CA1CF3">
          <w:rPr>
            <w:webHidden/>
          </w:rPr>
          <w:instrText xml:space="preserve"> PAGEREF _Toc533660851 \h </w:instrText>
        </w:r>
        <w:r w:rsidR="00CA1CF3">
          <w:rPr>
            <w:webHidden/>
          </w:rPr>
        </w:r>
        <w:r w:rsidR="00CA1CF3">
          <w:rPr>
            <w:webHidden/>
          </w:rPr>
          <w:fldChar w:fldCharType="separate"/>
        </w:r>
        <w:r w:rsidR="00CA1CF3">
          <w:rPr>
            <w:webHidden/>
          </w:rPr>
          <w:t>- 5 -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52" w:history="1">
        <w:r w:rsidR="00CA1CF3" w:rsidRPr="00B16C94">
          <w:rPr>
            <w:rStyle w:val="Hyperlink"/>
          </w:rPr>
          <w:t>3.3.</w:t>
        </w:r>
        <w:r w:rsidR="00CA1CF3">
          <w:rPr>
            <w:rFonts w:asciiTheme="minorHAnsi" w:eastAsiaTheme="minorEastAsia" w:hAnsiTheme="minorHAnsi" w:cstheme="minorBidi"/>
            <w:b w:val="0"/>
          </w:rPr>
          <w:tab/>
        </w:r>
        <w:r w:rsidR="00CA1CF3" w:rsidRPr="00B16C94">
          <w:rPr>
            <w:rStyle w:val="Hyperlink"/>
          </w:rPr>
          <w:t>Pregled hrvatskog tržišta klađenja</w:t>
        </w:r>
        <w:r w:rsidR="00CA1CF3">
          <w:rPr>
            <w:webHidden/>
          </w:rPr>
          <w:tab/>
        </w:r>
        <w:r w:rsidR="00CA1CF3">
          <w:rPr>
            <w:webHidden/>
          </w:rPr>
          <w:fldChar w:fldCharType="begin"/>
        </w:r>
        <w:r w:rsidR="00CA1CF3">
          <w:rPr>
            <w:webHidden/>
          </w:rPr>
          <w:instrText xml:space="preserve"> PAGEREF _Toc533660852 \h </w:instrText>
        </w:r>
        <w:r w:rsidR="00CA1CF3">
          <w:rPr>
            <w:webHidden/>
          </w:rPr>
        </w:r>
        <w:r w:rsidR="00CA1CF3">
          <w:rPr>
            <w:webHidden/>
          </w:rPr>
          <w:fldChar w:fldCharType="separate"/>
        </w:r>
        <w:r w:rsidR="00CA1CF3">
          <w:rPr>
            <w:webHidden/>
          </w:rPr>
          <w:t>- 6 -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53" w:history="1">
        <w:r w:rsidR="00CA1CF3" w:rsidRPr="00B16C94">
          <w:rPr>
            <w:rStyle w:val="Hyperlink"/>
          </w:rPr>
          <w:t>3.4.</w:t>
        </w:r>
        <w:r w:rsidR="00CA1CF3">
          <w:rPr>
            <w:rFonts w:asciiTheme="minorHAnsi" w:eastAsiaTheme="minorEastAsia" w:hAnsiTheme="minorHAnsi" w:cstheme="minorBidi"/>
            <w:b w:val="0"/>
          </w:rPr>
          <w:tab/>
        </w:r>
        <w:r w:rsidR="00CA1CF3" w:rsidRPr="00B16C94">
          <w:rPr>
            <w:rStyle w:val="Hyperlink"/>
          </w:rPr>
          <w:t>Pregled hrvatskog tržišta automat klubova</w:t>
        </w:r>
        <w:r w:rsidR="00CA1CF3">
          <w:rPr>
            <w:webHidden/>
          </w:rPr>
          <w:tab/>
        </w:r>
        <w:r w:rsidR="00CA1CF3">
          <w:rPr>
            <w:webHidden/>
          </w:rPr>
          <w:fldChar w:fldCharType="begin"/>
        </w:r>
        <w:r w:rsidR="00CA1CF3">
          <w:rPr>
            <w:webHidden/>
          </w:rPr>
          <w:instrText xml:space="preserve"> PAGEREF _Toc533660853 \h </w:instrText>
        </w:r>
        <w:r w:rsidR="00CA1CF3">
          <w:rPr>
            <w:webHidden/>
          </w:rPr>
        </w:r>
        <w:r w:rsidR="00CA1CF3">
          <w:rPr>
            <w:webHidden/>
          </w:rPr>
          <w:fldChar w:fldCharType="separate"/>
        </w:r>
        <w:r w:rsidR="00CA1CF3">
          <w:rPr>
            <w:webHidden/>
          </w:rPr>
          <w:t>- 11 -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54" w:history="1">
        <w:r w:rsidR="00CA1CF3" w:rsidRPr="00B16C94">
          <w:rPr>
            <w:rStyle w:val="Hyperlink"/>
          </w:rPr>
          <w:t>3.5.</w:t>
        </w:r>
        <w:r w:rsidR="00CA1CF3">
          <w:rPr>
            <w:rFonts w:asciiTheme="minorHAnsi" w:eastAsiaTheme="minorEastAsia" w:hAnsiTheme="minorHAnsi" w:cstheme="minorBidi"/>
            <w:b w:val="0"/>
          </w:rPr>
          <w:tab/>
        </w:r>
        <w:r w:rsidR="00CA1CF3" w:rsidRPr="00B16C94">
          <w:rPr>
            <w:rStyle w:val="Hyperlink"/>
          </w:rPr>
          <w:t>Pregled hrvatskog tržišta casina</w:t>
        </w:r>
        <w:r w:rsidR="00CA1CF3">
          <w:rPr>
            <w:webHidden/>
          </w:rPr>
          <w:tab/>
        </w:r>
        <w:r w:rsidR="00CA1CF3">
          <w:rPr>
            <w:webHidden/>
          </w:rPr>
          <w:fldChar w:fldCharType="begin"/>
        </w:r>
        <w:r w:rsidR="00CA1CF3">
          <w:rPr>
            <w:webHidden/>
          </w:rPr>
          <w:instrText xml:space="preserve"> PAGEREF _Toc533660854 \h </w:instrText>
        </w:r>
        <w:r w:rsidR="00CA1CF3">
          <w:rPr>
            <w:webHidden/>
          </w:rPr>
        </w:r>
        <w:r w:rsidR="00CA1CF3">
          <w:rPr>
            <w:webHidden/>
          </w:rPr>
          <w:fldChar w:fldCharType="separate"/>
        </w:r>
        <w:r w:rsidR="00CA1CF3">
          <w:rPr>
            <w:webHidden/>
          </w:rPr>
          <w:t>- 11 -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55" w:history="1">
        <w:r w:rsidR="00CA1CF3" w:rsidRPr="00B16C94">
          <w:rPr>
            <w:rStyle w:val="Hyperlink"/>
          </w:rPr>
          <w:t>3.6.</w:t>
        </w:r>
        <w:r w:rsidR="00CA1CF3">
          <w:rPr>
            <w:rFonts w:asciiTheme="minorHAnsi" w:eastAsiaTheme="minorEastAsia" w:hAnsiTheme="minorHAnsi" w:cstheme="minorBidi"/>
            <w:b w:val="0"/>
          </w:rPr>
          <w:tab/>
        </w:r>
        <w:r w:rsidR="00CA1CF3" w:rsidRPr="00B16C94">
          <w:rPr>
            <w:rStyle w:val="Hyperlink"/>
          </w:rPr>
          <w:t>Pregled tržišta lutrijskih igara</w:t>
        </w:r>
        <w:r w:rsidR="00CA1CF3">
          <w:rPr>
            <w:webHidden/>
          </w:rPr>
          <w:tab/>
        </w:r>
        <w:r w:rsidR="00CA1CF3">
          <w:rPr>
            <w:webHidden/>
          </w:rPr>
          <w:fldChar w:fldCharType="begin"/>
        </w:r>
        <w:r w:rsidR="00CA1CF3">
          <w:rPr>
            <w:webHidden/>
          </w:rPr>
          <w:instrText xml:space="preserve"> PAGEREF _Toc533660855 \h </w:instrText>
        </w:r>
        <w:r w:rsidR="00CA1CF3">
          <w:rPr>
            <w:webHidden/>
          </w:rPr>
        </w:r>
        <w:r w:rsidR="00CA1CF3">
          <w:rPr>
            <w:webHidden/>
          </w:rPr>
          <w:fldChar w:fldCharType="separate"/>
        </w:r>
        <w:r w:rsidR="00CA1CF3">
          <w:rPr>
            <w:webHidden/>
          </w:rPr>
          <w:t>- 14 -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56" w:history="1">
        <w:r w:rsidR="00CA1CF3" w:rsidRPr="00B16C94">
          <w:rPr>
            <w:rStyle w:val="Hyperlink"/>
          </w:rPr>
          <w:t>IV.</w:t>
        </w:r>
        <w:r w:rsidR="00CA1CF3">
          <w:rPr>
            <w:rFonts w:asciiTheme="minorHAnsi" w:eastAsiaTheme="minorEastAsia" w:hAnsiTheme="minorHAnsi" w:cstheme="minorBidi"/>
            <w:b w:val="0"/>
          </w:rPr>
          <w:tab/>
        </w:r>
        <w:r w:rsidR="00CA1CF3" w:rsidRPr="00B16C94">
          <w:rPr>
            <w:rStyle w:val="Hyperlink"/>
          </w:rPr>
          <w:t>KRATKA ANALIZA RAZDOBLJA OD 2015. DO 2018. GODINE</w:t>
        </w:r>
        <w:r w:rsidR="00CA1CF3">
          <w:rPr>
            <w:webHidden/>
          </w:rPr>
          <w:tab/>
        </w:r>
        <w:r w:rsidR="00CA1CF3">
          <w:rPr>
            <w:webHidden/>
          </w:rPr>
          <w:fldChar w:fldCharType="begin"/>
        </w:r>
        <w:r w:rsidR="00CA1CF3">
          <w:rPr>
            <w:webHidden/>
          </w:rPr>
          <w:instrText xml:space="preserve"> PAGEREF _Toc533660856 \h </w:instrText>
        </w:r>
        <w:r w:rsidR="00CA1CF3">
          <w:rPr>
            <w:webHidden/>
          </w:rPr>
        </w:r>
        <w:r w:rsidR="00CA1CF3">
          <w:rPr>
            <w:webHidden/>
          </w:rPr>
          <w:fldChar w:fldCharType="separate"/>
        </w:r>
        <w:r w:rsidR="00CA1CF3">
          <w:rPr>
            <w:webHidden/>
          </w:rPr>
          <w:t>- 15 -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57" w:history="1">
        <w:r w:rsidR="00CA1CF3" w:rsidRPr="00B16C94">
          <w:rPr>
            <w:rStyle w:val="Hyperlink"/>
          </w:rPr>
          <w:t>4.1.</w:t>
        </w:r>
        <w:r w:rsidR="00CA1CF3">
          <w:rPr>
            <w:rFonts w:asciiTheme="minorHAnsi" w:eastAsiaTheme="minorEastAsia" w:hAnsiTheme="minorHAnsi" w:cstheme="minorBidi"/>
            <w:b w:val="0"/>
          </w:rPr>
          <w:tab/>
        </w:r>
        <w:r w:rsidR="00CA1CF3" w:rsidRPr="00B16C94">
          <w:rPr>
            <w:rStyle w:val="Hyperlink"/>
          </w:rPr>
          <w:t>Značajke poslovanja za razdoblje od 2015. do 2018. godine</w:t>
        </w:r>
        <w:r w:rsidR="00CA1CF3">
          <w:rPr>
            <w:webHidden/>
          </w:rPr>
          <w:tab/>
        </w:r>
        <w:r w:rsidR="00CA1CF3">
          <w:rPr>
            <w:webHidden/>
          </w:rPr>
          <w:fldChar w:fldCharType="begin"/>
        </w:r>
        <w:r w:rsidR="00CA1CF3">
          <w:rPr>
            <w:webHidden/>
          </w:rPr>
          <w:instrText xml:space="preserve"> PAGEREF _Toc533660857 \h </w:instrText>
        </w:r>
        <w:r w:rsidR="00CA1CF3">
          <w:rPr>
            <w:webHidden/>
          </w:rPr>
        </w:r>
        <w:r w:rsidR="00CA1CF3">
          <w:rPr>
            <w:webHidden/>
          </w:rPr>
          <w:fldChar w:fldCharType="separate"/>
        </w:r>
        <w:r w:rsidR="00CA1CF3">
          <w:rPr>
            <w:webHidden/>
          </w:rPr>
          <w:t>- 15 -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58" w:history="1">
        <w:r w:rsidR="00CA1CF3" w:rsidRPr="00B16C94">
          <w:rPr>
            <w:rStyle w:val="Hyperlink"/>
          </w:rPr>
          <w:t>4.2.</w:t>
        </w:r>
        <w:r w:rsidR="00CA1CF3">
          <w:rPr>
            <w:rFonts w:asciiTheme="minorHAnsi" w:eastAsiaTheme="minorEastAsia" w:hAnsiTheme="minorHAnsi" w:cstheme="minorBidi"/>
            <w:b w:val="0"/>
          </w:rPr>
          <w:tab/>
        </w:r>
        <w:r w:rsidR="00CA1CF3" w:rsidRPr="00B16C94">
          <w:rPr>
            <w:rStyle w:val="Hyperlink"/>
          </w:rPr>
          <w:t>Realizacija strateških inicijativa i projekata u periodu od 2015. do 2018.godine</w:t>
        </w:r>
        <w:r w:rsidR="00CA1CF3">
          <w:rPr>
            <w:webHidden/>
          </w:rPr>
          <w:tab/>
        </w:r>
        <w:r w:rsidR="00CA1CF3">
          <w:rPr>
            <w:webHidden/>
          </w:rPr>
          <w:fldChar w:fldCharType="begin"/>
        </w:r>
        <w:r w:rsidR="00CA1CF3">
          <w:rPr>
            <w:webHidden/>
          </w:rPr>
          <w:instrText xml:space="preserve"> PAGEREF _Toc533660858 \h </w:instrText>
        </w:r>
        <w:r w:rsidR="00CA1CF3">
          <w:rPr>
            <w:webHidden/>
          </w:rPr>
        </w:r>
        <w:r w:rsidR="00CA1CF3">
          <w:rPr>
            <w:webHidden/>
          </w:rPr>
          <w:fldChar w:fldCharType="separate"/>
        </w:r>
        <w:r w:rsidR="00CA1CF3">
          <w:rPr>
            <w:webHidden/>
          </w:rPr>
          <w:t>- 16 -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59" w:history="1">
        <w:r w:rsidR="00CA1CF3" w:rsidRPr="00B16C94">
          <w:rPr>
            <w:rStyle w:val="Hyperlink"/>
          </w:rPr>
          <w:t>4.3.</w:t>
        </w:r>
        <w:r w:rsidR="00CA1CF3">
          <w:rPr>
            <w:rFonts w:asciiTheme="minorHAnsi" w:eastAsiaTheme="minorEastAsia" w:hAnsiTheme="minorHAnsi" w:cstheme="minorBidi"/>
            <w:b w:val="0"/>
          </w:rPr>
          <w:tab/>
        </w:r>
        <w:r w:rsidR="00CA1CF3" w:rsidRPr="00B16C94">
          <w:rPr>
            <w:rStyle w:val="Hyperlink"/>
          </w:rPr>
          <w:t>Ostvareni rezultati poslovanja Hrvatske Lutrije d.o.o. za razdoblje od 2015. do 2018. godine</w:t>
        </w:r>
        <w:r w:rsidR="00CA1CF3">
          <w:rPr>
            <w:webHidden/>
          </w:rPr>
          <w:tab/>
        </w:r>
        <w:r w:rsidR="00CA1CF3">
          <w:rPr>
            <w:webHidden/>
          </w:rPr>
          <w:fldChar w:fldCharType="begin"/>
        </w:r>
        <w:r w:rsidR="00CA1CF3">
          <w:rPr>
            <w:webHidden/>
          </w:rPr>
          <w:instrText xml:space="preserve"> PAGEREF _Toc533660859 \h </w:instrText>
        </w:r>
        <w:r w:rsidR="00CA1CF3">
          <w:rPr>
            <w:webHidden/>
          </w:rPr>
        </w:r>
        <w:r w:rsidR="00CA1CF3">
          <w:rPr>
            <w:webHidden/>
          </w:rPr>
          <w:fldChar w:fldCharType="separate"/>
        </w:r>
        <w:r w:rsidR="00CA1CF3">
          <w:rPr>
            <w:webHidden/>
          </w:rPr>
          <w:t>- 19 -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60" w:history="1">
        <w:r w:rsidR="00CA1CF3" w:rsidRPr="00B16C94">
          <w:rPr>
            <w:rStyle w:val="Hyperlink"/>
          </w:rPr>
          <w:t>V.</w:t>
        </w:r>
        <w:r w:rsidR="00CA1CF3">
          <w:rPr>
            <w:rFonts w:asciiTheme="minorHAnsi" w:eastAsiaTheme="minorEastAsia" w:hAnsiTheme="minorHAnsi" w:cstheme="minorBidi"/>
            <w:b w:val="0"/>
          </w:rPr>
          <w:tab/>
        </w:r>
        <w:r w:rsidR="00CA1CF3" w:rsidRPr="00B16C94">
          <w:rPr>
            <w:rStyle w:val="Hyperlink"/>
          </w:rPr>
          <w:t>STRATEŠKE INICIJATIVE ZA RAZDOBLJE OD 2019. DO 2021. GODINE</w:t>
        </w:r>
        <w:r w:rsidR="00CA1CF3">
          <w:rPr>
            <w:webHidden/>
          </w:rPr>
          <w:tab/>
        </w:r>
        <w:r w:rsidR="00CA1CF3">
          <w:rPr>
            <w:webHidden/>
          </w:rPr>
          <w:fldChar w:fldCharType="begin"/>
        </w:r>
        <w:r w:rsidR="00CA1CF3">
          <w:rPr>
            <w:webHidden/>
          </w:rPr>
          <w:instrText xml:space="preserve"> PAGEREF _Toc533660860 \h </w:instrText>
        </w:r>
        <w:r w:rsidR="00CA1CF3">
          <w:rPr>
            <w:webHidden/>
          </w:rPr>
        </w:r>
        <w:r w:rsidR="00CA1CF3">
          <w:rPr>
            <w:webHidden/>
          </w:rPr>
          <w:fldChar w:fldCharType="separate"/>
        </w:r>
        <w:r w:rsidR="00CA1CF3">
          <w:rPr>
            <w:webHidden/>
          </w:rPr>
          <w:t>- 22 -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61" w:history="1">
        <w:r w:rsidR="00CA1CF3" w:rsidRPr="00B16C94">
          <w:rPr>
            <w:rStyle w:val="Hyperlink"/>
          </w:rPr>
          <w:t>5.1.</w:t>
        </w:r>
        <w:r w:rsidR="00CA1CF3">
          <w:rPr>
            <w:rFonts w:asciiTheme="minorHAnsi" w:eastAsiaTheme="minorEastAsia" w:hAnsiTheme="minorHAnsi" w:cstheme="minorBidi"/>
            <w:b w:val="0"/>
          </w:rPr>
          <w:tab/>
        </w:r>
        <w:r w:rsidR="00CA1CF3" w:rsidRPr="00B16C94">
          <w:rPr>
            <w:rStyle w:val="Hyperlink"/>
          </w:rPr>
          <w:t>Ključna područja strategije</w:t>
        </w:r>
        <w:r w:rsidR="00CA1CF3">
          <w:rPr>
            <w:webHidden/>
          </w:rPr>
          <w:tab/>
        </w:r>
        <w:r w:rsidR="00CA1CF3">
          <w:rPr>
            <w:webHidden/>
          </w:rPr>
          <w:fldChar w:fldCharType="begin"/>
        </w:r>
        <w:r w:rsidR="00CA1CF3">
          <w:rPr>
            <w:webHidden/>
          </w:rPr>
          <w:instrText xml:space="preserve"> PAGEREF _Toc533660861 \h </w:instrText>
        </w:r>
        <w:r w:rsidR="00CA1CF3">
          <w:rPr>
            <w:webHidden/>
          </w:rPr>
        </w:r>
        <w:r w:rsidR="00CA1CF3">
          <w:rPr>
            <w:webHidden/>
          </w:rPr>
          <w:fldChar w:fldCharType="separate"/>
        </w:r>
        <w:r w:rsidR="00CA1CF3">
          <w:rPr>
            <w:webHidden/>
          </w:rPr>
          <w:t>- 22 -</w:t>
        </w:r>
        <w:r w:rsidR="00CA1CF3">
          <w:rPr>
            <w:webHidden/>
          </w:rPr>
          <w:fldChar w:fldCharType="end"/>
        </w:r>
      </w:hyperlink>
    </w:p>
    <w:p w:rsidR="00CA1CF3" w:rsidRDefault="005E7484">
      <w:pPr>
        <w:pStyle w:val="TOC1"/>
        <w:tabs>
          <w:tab w:val="left" w:pos="880"/>
        </w:tabs>
        <w:rPr>
          <w:rFonts w:asciiTheme="minorHAnsi" w:eastAsiaTheme="minorEastAsia" w:hAnsiTheme="minorHAnsi" w:cstheme="minorBidi"/>
          <w:b w:val="0"/>
        </w:rPr>
      </w:pPr>
      <w:hyperlink w:anchor="_Toc533660862" w:history="1">
        <w:r w:rsidR="00CA1CF3" w:rsidRPr="00B16C94">
          <w:rPr>
            <w:rStyle w:val="Hyperlink"/>
          </w:rPr>
          <w:t>5.1.1.</w:t>
        </w:r>
        <w:r w:rsidR="00CA1CF3">
          <w:rPr>
            <w:rFonts w:asciiTheme="minorHAnsi" w:eastAsiaTheme="minorEastAsia" w:hAnsiTheme="minorHAnsi" w:cstheme="minorBidi"/>
            <w:b w:val="0"/>
          </w:rPr>
          <w:tab/>
        </w:r>
        <w:r w:rsidR="00CA1CF3" w:rsidRPr="00B16C94">
          <w:rPr>
            <w:rStyle w:val="Hyperlink"/>
          </w:rPr>
          <w:t>Upravljanje igračima</w:t>
        </w:r>
        <w:r w:rsidR="00CA1CF3">
          <w:rPr>
            <w:webHidden/>
          </w:rPr>
          <w:tab/>
        </w:r>
        <w:r w:rsidR="00CA1CF3">
          <w:rPr>
            <w:webHidden/>
          </w:rPr>
          <w:fldChar w:fldCharType="begin"/>
        </w:r>
        <w:r w:rsidR="00CA1CF3">
          <w:rPr>
            <w:webHidden/>
          </w:rPr>
          <w:instrText xml:space="preserve"> PAGEREF _Toc533660862 \h </w:instrText>
        </w:r>
        <w:r w:rsidR="00CA1CF3">
          <w:rPr>
            <w:webHidden/>
          </w:rPr>
        </w:r>
        <w:r w:rsidR="00CA1CF3">
          <w:rPr>
            <w:webHidden/>
          </w:rPr>
          <w:fldChar w:fldCharType="separate"/>
        </w:r>
        <w:r w:rsidR="00CA1CF3">
          <w:rPr>
            <w:webHidden/>
          </w:rPr>
          <w:t>- 22 -</w:t>
        </w:r>
        <w:r w:rsidR="00CA1CF3">
          <w:rPr>
            <w:webHidden/>
          </w:rPr>
          <w:fldChar w:fldCharType="end"/>
        </w:r>
      </w:hyperlink>
    </w:p>
    <w:p w:rsidR="00CA1CF3" w:rsidRDefault="005E7484">
      <w:pPr>
        <w:pStyle w:val="TOC1"/>
        <w:tabs>
          <w:tab w:val="left" w:pos="880"/>
        </w:tabs>
        <w:rPr>
          <w:rFonts w:asciiTheme="minorHAnsi" w:eastAsiaTheme="minorEastAsia" w:hAnsiTheme="minorHAnsi" w:cstheme="minorBidi"/>
          <w:b w:val="0"/>
        </w:rPr>
      </w:pPr>
      <w:hyperlink w:anchor="_Toc533660863" w:history="1">
        <w:r w:rsidR="00CA1CF3" w:rsidRPr="00B16C94">
          <w:rPr>
            <w:rStyle w:val="Hyperlink"/>
          </w:rPr>
          <w:t>5.1.2.</w:t>
        </w:r>
        <w:r w:rsidR="00CA1CF3">
          <w:rPr>
            <w:rFonts w:asciiTheme="minorHAnsi" w:eastAsiaTheme="minorEastAsia" w:hAnsiTheme="minorHAnsi" w:cstheme="minorBidi"/>
            <w:b w:val="0"/>
          </w:rPr>
          <w:tab/>
        </w:r>
        <w:r w:rsidR="00CA1CF3" w:rsidRPr="00B16C94">
          <w:rPr>
            <w:rStyle w:val="Hyperlink"/>
          </w:rPr>
          <w:t>Modernizacija portfelja igara</w:t>
        </w:r>
        <w:r w:rsidR="00CA1CF3">
          <w:rPr>
            <w:webHidden/>
          </w:rPr>
          <w:tab/>
        </w:r>
        <w:r w:rsidR="00CA1CF3">
          <w:rPr>
            <w:webHidden/>
          </w:rPr>
          <w:fldChar w:fldCharType="begin"/>
        </w:r>
        <w:r w:rsidR="00CA1CF3">
          <w:rPr>
            <w:webHidden/>
          </w:rPr>
          <w:instrText xml:space="preserve"> PAGEREF _Toc533660863 \h </w:instrText>
        </w:r>
        <w:r w:rsidR="00CA1CF3">
          <w:rPr>
            <w:webHidden/>
          </w:rPr>
        </w:r>
        <w:r w:rsidR="00CA1CF3">
          <w:rPr>
            <w:webHidden/>
          </w:rPr>
          <w:fldChar w:fldCharType="separate"/>
        </w:r>
        <w:r w:rsidR="00CA1CF3">
          <w:rPr>
            <w:webHidden/>
          </w:rPr>
          <w:t>- 25 -</w:t>
        </w:r>
        <w:r w:rsidR="00CA1CF3">
          <w:rPr>
            <w:webHidden/>
          </w:rPr>
          <w:fldChar w:fldCharType="end"/>
        </w:r>
      </w:hyperlink>
    </w:p>
    <w:p w:rsidR="00CA1CF3" w:rsidRDefault="005E7484">
      <w:pPr>
        <w:pStyle w:val="TOC1"/>
        <w:tabs>
          <w:tab w:val="left" w:pos="880"/>
        </w:tabs>
        <w:rPr>
          <w:rFonts w:asciiTheme="minorHAnsi" w:eastAsiaTheme="minorEastAsia" w:hAnsiTheme="minorHAnsi" w:cstheme="minorBidi"/>
          <w:b w:val="0"/>
        </w:rPr>
      </w:pPr>
      <w:hyperlink w:anchor="_Toc533660864" w:history="1">
        <w:r w:rsidR="00CA1CF3" w:rsidRPr="00B16C94">
          <w:rPr>
            <w:rStyle w:val="Hyperlink"/>
          </w:rPr>
          <w:t>5.1.3.</w:t>
        </w:r>
        <w:r w:rsidR="00CA1CF3">
          <w:rPr>
            <w:rFonts w:asciiTheme="minorHAnsi" w:eastAsiaTheme="minorEastAsia" w:hAnsiTheme="minorHAnsi" w:cstheme="minorBidi"/>
            <w:b w:val="0"/>
          </w:rPr>
          <w:tab/>
        </w:r>
        <w:r w:rsidR="00CA1CF3" w:rsidRPr="00B16C94">
          <w:rPr>
            <w:rStyle w:val="Hyperlink"/>
          </w:rPr>
          <w:t>Prodaja 2022.</w:t>
        </w:r>
        <w:r w:rsidR="00CA1CF3">
          <w:rPr>
            <w:webHidden/>
          </w:rPr>
          <w:tab/>
        </w:r>
        <w:r w:rsidR="00CA1CF3">
          <w:rPr>
            <w:webHidden/>
          </w:rPr>
          <w:fldChar w:fldCharType="begin"/>
        </w:r>
        <w:r w:rsidR="00CA1CF3">
          <w:rPr>
            <w:webHidden/>
          </w:rPr>
          <w:instrText xml:space="preserve"> PAGEREF _Toc533660864 \h </w:instrText>
        </w:r>
        <w:r w:rsidR="00CA1CF3">
          <w:rPr>
            <w:webHidden/>
          </w:rPr>
        </w:r>
        <w:r w:rsidR="00CA1CF3">
          <w:rPr>
            <w:webHidden/>
          </w:rPr>
          <w:fldChar w:fldCharType="separate"/>
        </w:r>
        <w:r w:rsidR="00CA1CF3">
          <w:rPr>
            <w:webHidden/>
          </w:rPr>
          <w:t>- 26 -</w:t>
        </w:r>
        <w:r w:rsidR="00CA1CF3">
          <w:rPr>
            <w:webHidden/>
          </w:rPr>
          <w:fldChar w:fldCharType="end"/>
        </w:r>
      </w:hyperlink>
    </w:p>
    <w:p w:rsidR="00CA1CF3" w:rsidRDefault="005E7484">
      <w:pPr>
        <w:pStyle w:val="TOC1"/>
        <w:tabs>
          <w:tab w:val="left" w:pos="880"/>
        </w:tabs>
        <w:rPr>
          <w:rFonts w:asciiTheme="minorHAnsi" w:eastAsiaTheme="minorEastAsia" w:hAnsiTheme="minorHAnsi" w:cstheme="minorBidi"/>
          <w:b w:val="0"/>
        </w:rPr>
      </w:pPr>
      <w:hyperlink w:anchor="_Toc533660865" w:history="1">
        <w:r w:rsidR="00CA1CF3" w:rsidRPr="00B16C94">
          <w:rPr>
            <w:rStyle w:val="Hyperlink"/>
          </w:rPr>
          <w:t>5.1.4.</w:t>
        </w:r>
        <w:r w:rsidR="00CA1CF3">
          <w:rPr>
            <w:rFonts w:asciiTheme="minorHAnsi" w:eastAsiaTheme="minorEastAsia" w:hAnsiTheme="minorHAnsi" w:cstheme="minorBidi"/>
            <w:b w:val="0"/>
          </w:rPr>
          <w:tab/>
        </w:r>
        <w:r w:rsidR="00CA1CF3" w:rsidRPr="00B16C94">
          <w:rPr>
            <w:rStyle w:val="Hyperlink"/>
          </w:rPr>
          <w:t>Unaprjeđenje upravljanja ljudskim potencijalima</w:t>
        </w:r>
        <w:r w:rsidR="00CA1CF3">
          <w:rPr>
            <w:webHidden/>
          </w:rPr>
          <w:tab/>
        </w:r>
        <w:r w:rsidR="00CA1CF3">
          <w:rPr>
            <w:webHidden/>
          </w:rPr>
          <w:fldChar w:fldCharType="begin"/>
        </w:r>
        <w:r w:rsidR="00CA1CF3">
          <w:rPr>
            <w:webHidden/>
          </w:rPr>
          <w:instrText xml:space="preserve"> PAGEREF _Toc533660865 \h </w:instrText>
        </w:r>
        <w:r w:rsidR="00CA1CF3">
          <w:rPr>
            <w:webHidden/>
          </w:rPr>
        </w:r>
        <w:r w:rsidR="00CA1CF3">
          <w:rPr>
            <w:webHidden/>
          </w:rPr>
          <w:fldChar w:fldCharType="separate"/>
        </w:r>
        <w:r w:rsidR="00CA1CF3">
          <w:rPr>
            <w:webHidden/>
          </w:rPr>
          <w:t>- 27 -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66" w:history="1">
        <w:r w:rsidR="00CA1CF3" w:rsidRPr="00B16C94">
          <w:rPr>
            <w:rStyle w:val="Hyperlink"/>
          </w:rPr>
          <w:t>5.2.</w:t>
        </w:r>
        <w:r w:rsidR="00CA1CF3">
          <w:rPr>
            <w:rFonts w:asciiTheme="minorHAnsi" w:eastAsiaTheme="minorEastAsia" w:hAnsiTheme="minorHAnsi" w:cstheme="minorBidi"/>
            <w:b w:val="0"/>
          </w:rPr>
          <w:tab/>
        </w:r>
        <w:r w:rsidR="00CA1CF3" w:rsidRPr="00B16C94">
          <w:rPr>
            <w:rStyle w:val="Hyperlink"/>
          </w:rPr>
          <w:t>Strateški rizici i analize tehnologije i trendova</w:t>
        </w:r>
        <w:r w:rsidR="00CA1CF3">
          <w:rPr>
            <w:webHidden/>
          </w:rPr>
          <w:tab/>
        </w:r>
        <w:r w:rsidR="00CA1CF3">
          <w:rPr>
            <w:webHidden/>
          </w:rPr>
          <w:fldChar w:fldCharType="begin"/>
        </w:r>
        <w:r w:rsidR="00CA1CF3">
          <w:rPr>
            <w:webHidden/>
          </w:rPr>
          <w:instrText xml:space="preserve"> PAGEREF _Toc533660866 \h </w:instrText>
        </w:r>
        <w:r w:rsidR="00CA1CF3">
          <w:rPr>
            <w:webHidden/>
          </w:rPr>
        </w:r>
        <w:r w:rsidR="00CA1CF3">
          <w:rPr>
            <w:webHidden/>
          </w:rPr>
          <w:fldChar w:fldCharType="separate"/>
        </w:r>
        <w:r w:rsidR="00CA1CF3">
          <w:rPr>
            <w:webHidden/>
          </w:rPr>
          <w:t>- 28 -</w:t>
        </w:r>
        <w:r w:rsidR="00CA1CF3">
          <w:rPr>
            <w:webHidden/>
          </w:rPr>
          <w:fldChar w:fldCharType="end"/>
        </w:r>
      </w:hyperlink>
    </w:p>
    <w:p w:rsidR="00CA1CF3" w:rsidRDefault="005E7484">
      <w:pPr>
        <w:pStyle w:val="TOC1"/>
        <w:tabs>
          <w:tab w:val="left" w:pos="880"/>
        </w:tabs>
        <w:rPr>
          <w:rFonts w:asciiTheme="minorHAnsi" w:eastAsiaTheme="minorEastAsia" w:hAnsiTheme="minorHAnsi" w:cstheme="minorBidi"/>
          <w:b w:val="0"/>
        </w:rPr>
      </w:pPr>
      <w:hyperlink w:anchor="_Toc533660867" w:history="1">
        <w:r w:rsidR="00CA1CF3" w:rsidRPr="00B16C94">
          <w:rPr>
            <w:rStyle w:val="Hyperlink"/>
          </w:rPr>
          <w:t>5.2.1.</w:t>
        </w:r>
        <w:r w:rsidR="00CA1CF3">
          <w:rPr>
            <w:rFonts w:asciiTheme="minorHAnsi" w:eastAsiaTheme="minorEastAsia" w:hAnsiTheme="minorHAnsi" w:cstheme="minorBidi"/>
            <w:b w:val="0"/>
          </w:rPr>
          <w:tab/>
        </w:r>
        <w:r w:rsidR="00CA1CF3" w:rsidRPr="00B16C94">
          <w:rPr>
            <w:rStyle w:val="Hyperlink"/>
          </w:rPr>
          <w:t>Ključni strateški rizici</w:t>
        </w:r>
        <w:r w:rsidR="00CA1CF3">
          <w:rPr>
            <w:webHidden/>
          </w:rPr>
          <w:tab/>
        </w:r>
        <w:r w:rsidR="00CA1CF3">
          <w:rPr>
            <w:webHidden/>
          </w:rPr>
          <w:fldChar w:fldCharType="begin"/>
        </w:r>
        <w:r w:rsidR="00CA1CF3">
          <w:rPr>
            <w:webHidden/>
          </w:rPr>
          <w:instrText xml:space="preserve"> PAGEREF _Toc533660867 \h </w:instrText>
        </w:r>
        <w:r w:rsidR="00CA1CF3">
          <w:rPr>
            <w:webHidden/>
          </w:rPr>
        </w:r>
        <w:r w:rsidR="00CA1CF3">
          <w:rPr>
            <w:webHidden/>
          </w:rPr>
          <w:fldChar w:fldCharType="separate"/>
        </w:r>
        <w:r w:rsidR="00CA1CF3">
          <w:rPr>
            <w:webHidden/>
          </w:rPr>
          <w:t>- 28 -</w:t>
        </w:r>
        <w:r w:rsidR="00CA1CF3">
          <w:rPr>
            <w:webHidden/>
          </w:rPr>
          <w:fldChar w:fldCharType="end"/>
        </w:r>
      </w:hyperlink>
    </w:p>
    <w:p w:rsidR="00CA1CF3" w:rsidRDefault="005E7484">
      <w:pPr>
        <w:pStyle w:val="TOC1"/>
        <w:tabs>
          <w:tab w:val="left" w:pos="880"/>
        </w:tabs>
        <w:rPr>
          <w:rFonts w:asciiTheme="minorHAnsi" w:eastAsiaTheme="minorEastAsia" w:hAnsiTheme="minorHAnsi" w:cstheme="minorBidi"/>
          <w:b w:val="0"/>
        </w:rPr>
      </w:pPr>
      <w:hyperlink w:anchor="_Toc533660868" w:history="1">
        <w:r w:rsidR="00CA1CF3" w:rsidRPr="00B16C94">
          <w:rPr>
            <w:rStyle w:val="Hyperlink"/>
          </w:rPr>
          <w:t>5.2.2.</w:t>
        </w:r>
        <w:r w:rsidR="00CA1CF3">
          <w:rPr>
            <w:rFonts w:asciiTheme="minorHAnsi" w:eastAsiaTheme="minorEastAsia" w:hAnsiTheme="minorHAnsi" w:cstheme="minorBidi"/>
            <w:b w:val="0"/>
          </w:rPr>
          <w:tab/>
        </w:r>
        <w:r w:rsidR="00CA1CF3" w:rsidRPr="00B16C94">
          <w:rPr>
            <w:rStyle w:val="Hyperlink"/>
          </w:rPr>
          <w:t>Analiza tehnologije i tehnoloških trendova</w:t>
        </w:r>
        <w:r w:rsidR="00CA1CF3">
          <w:rPr>
            <w:webHidden/>
          </w:rPr>
          <w:tab/>
        </w:r>
        <w:r w:rsidR="00CA1CF3">
          <w:rPr>
            <w:webHidden/>
          </w:rPr>
          <w:fldChar w:fldCharType="begin"/>
        </w:r>
        <w:r w:rsidR="00CA1CF3">
          <w:rPr>
            <w:webHidden/>
          </w:rPr>
          <w:instrText xml:space="preserve"> PAGEREF _Toc533660868 \h </w:instrText>
        </w:r>
        <w:r w:rsidR="00CA1CF3">
          <w:rPr>
            <w:webHidden/>
          </w:rPr>
        </w:r>
        <w:r w:rsidR="00CA1CF3">
          <w:rPr>
            <w:webHidden/>
          </w:rPr>
          <w:fldChar w:fldCharType="separate"/>
        </w:r>
        <w:r w:rsidR="00CA1CF3">
          <w:rPr>
            <w:webHidden/>
          </w:rPr>
          <w:t>- 29 -</w:t>
        </w:r>
        <w:r w:rsidR="00CA1CF3">
          <w:rPr>
            <w:webHidden/>
          </w:rPr>
          <w:fldChar w:fldCharType="end"/>
        </w:r>
      </w:hyperlink>
    </w:p>
    <w:p w:rsidR="00CA1CF3" w:rsidRDefault="005E7484">
      <w:pPr>
        <w:pStyle w:val="TOC1"/>
        <w:tabs>
          <w:tab w:val="left" w:pos="880"/>
        </w:tabs>
        <w:rPr>
          <w:rFonts w:asciiTheme="minorHAnsi" w:eastAsiaTheme="minorEastAsia" w:hAnsiTheme="minorHAnsi" w:cstheme="minorBidi"/>
          <w:b w:val="0"/>
        </w:rPr>
      </w:pPr>
      <w:hyperlink w:anchor="_Toc533660869" w:history="1">
        <w:r w:rsidR="00CA1CF3" w:rsidRPr="00B16C94">
          <w:rPr>
            <w:rStyle w:val="Hyperlink"/>
          </w:rPr>
          <w:t>5.2.3.</w:t>
        </w:r>
        <w:r w:rsidR="00CA1CF3">
          <w:rPr>
            <w:rFonts w:asciiTheme="minorHAnsi" w:eastAsiaTheme="minorEastAsia" w:hAnsiTheme="minorHAnsi" w:cstheme="minorBidi"/>
            <w:b w:val="0"/>
          </w:rPr>
          <w:tab/>
        </w:r>
        <w:r w:rsidR="00CA1CF3" w:rsidRPr="00B16C94">
          <w:rPr>
            <w:rStyle w:val="Hyperlink"/>
          </w:rPr>
          <w:t>Analiza trendova u razvoju proizvoda</w:t>
        </w:r>
        <w:r w:rsidR="00CA1CF3">
          <w:rPr>
            <w:webHidden/>
          </w:rPr>
          <w:tab/>
        </w:r>
        <w:r w:rsidR="00CA1CF3">
          <w:rPr>
            <w:webHidden/>
          </w:rPr>
          <w:fldChar w:fldCharType="begin"/>
        </w:r>
        <w:r w:rsidR="00CA1CF3">
          <w:rPr>
            <w:webHidden/>
          </w:rPr>
          <w:instrText xml:space="preserve"> PAGEREF _Toc533660869 \h </w:instrText>
        </w:r>
        <w:r w:rsidR="00CA1CF3">
          <w:rPr>
            <w:webHidden/>
          </w:rPr>
        </w:r>
        <w:r w:rsidR="00CA1CF3">
          <w:rPr>
            <w:webHidden/>
          </w:rPr>
          <w:fldChar w:fldCharType="separate"/>
        </w:r>
        <w:r w:rsidR="00CA1CF3">
          <w:rPr>
            <w:webHidden/>
          </w:rPr>
          <w:t>- 30 -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70" w:history="1">
        <w:r w:rsidR="00CA1CF3" w:rsidRPr="00B16C94">
          <w:rPr>
            <w:rStyle w:val="Hyperlink"/>
          </w:rPr>
          <w:t>VI.</w:t>
        </w:r>
        <w:r w:rsidR="00CA1CF3">
          <w:rPr>
            <w:rFonts w:asciiTheme="minorHAnsi" w:eastAsiaTheme="minorEastAsia" w:hAnsiTheme="minorHAnsi" w:cstheme="minorBidi"/>
            <w:b w:val="0"/>
          </w:rPr>
          <w:tab/>
        </w:r>
        <w:r w:rsidR="00CA1CF3" w:rsidRPr="00B16C94">
          <w:rPr>
            <w:rStyle w:val="Hyperlink"/>
          </w:rPr>
          <w:t>FINANCIJSKI PLAN</w:t>
        </w:r>
        <w:r w:rsidR="00CA1CF3">
          <w:rPr>
            <w:webHidden/>
          </w:rPr>
          <w:tab/>
        </w:r>
        <w:r w:rsidR="00CA1CF3">
          <w:rPr>
            <w:webHidden/>
          </w:rPr>
          <w:fldChar w:fldCharType="begin"/>
        </w:r>
        <w:r w:rsidR="00CA1CF3">
          <w:rPr>
            <w:webHidden/>
          </w:rPr>
          <w:instrText xml:space="preserve"> PAGEREF _Toc533660870 \h </w:instrText>
        </w:r>
        <w:r w:rsidR="00CA1CF3">
          <w:rPr>
            <w:webHidden/>
          </w:rPr>
        </w:r>
        <w:r w:rsidR="00CA1CF3">
          <w:rPr>
            <w:webHidden/>
          </w:rPr>
          <w:fldChar w:fldCharType="separate"/>
        </w:r>
        <w:r w:rsidR="00CA1CF3">
          <w:rPr>
            <w:webHidden/>
          </w:rPr>
          <w:t>- 31 -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71" w:history="1">
        <w:r w:rsidR="00CA1CF3" w:rsidRPr="00B16C94">
          <w:rPr>
            <w:rStyle w:val="Hyperlink"/>
          </w:rPr>
          <w:t>6.1.</w:t>
        </w:r>
        <w:r w:rsidR="00CA1CF3">
          <w:rPr>
            <w:rFonts w:asciiTheme="minorHAnsi" w:eastAsiaTheme="minorEastAsia" w:hAnsiTheme="minorHAnsi" w:cstheme="minorBidi"/>
            <w:b w:val="0"/>
          </w:rPr>
          <w:tab/>
        </w:r>
        <w:r w:rsidR="00CA1CF3" w:rsidRPr="00B16C94">
          <w:rPr>
            <w:rStyle w:val="Hyperlink"/>
          </w:rPr>
          <w:t>Plan prometa i prihoda od igara na sreću za razdoblje od 2018. do 2021. godinu</w:t>
        </w:r>
        <w:r w:rsidR="00CA1CF3">
          <w:rPr>
            <w:webHidden/>
          </w:rPr>
          <w:tab/>
        </w:r>
        <w:r w:rsidR="00CA1CF3">
          <w:rPr>
            <w:webHidden/>
          </w:rPr>
          <w:fldChar w:fldCharType="begin"/>
        </w:r>
        <w:r w:rsidR="00CA1CF3">
          <w:rPr>
            <w:webHidden/>
          </w:rPr>
          <w:instrText xml:space="preserve"> PAGEREF _Toc533660871 \h </w:instrText>
        </w:r>
        <w:r w:rsidR="00CA1CF3">
          <w:rPr>
            <w:webHidden/>
          </w:rPr>
        </w:r>
        <w:r w:rsidR="00CA1CF3">
          <w:rPr>
            <w:webHidden/>
          </w:rPr>
          <w:fldChar w:fldCharType="separate"/>
        </w:r>
        <w:r w:rsidR="00CA1CF3">
          <w:rPr>
            <w:webHidden/>
          </w:rPr>
          <w:t>- 32 -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72" w:history="1">
        <w:r w:rsidR="00CA1CF3" w:rsidRPr="00B16C94">
          <w:rPr>
            <w:rStyle w:val="Hyperlink"/>
          </w:rPr>
          <w:t>6.2.</w:t>
        </w:r>
        <w:r w:rsidR="00CA1CF3">
          <w:rPr>
            <w:rFonts w:asciiTheme="minorHAnsi" w:eastAsiaTheme="minorEastAsia" w:hAnsiTheme="minorHAnsi" w:cstheme="minorBidi"/>
            <w:b w:val="0"/>
          </w:rPr>
          <w:tab/>
        </w:r>
        <w:r w:rsidR="00CA1CF3" w:rsidRPr="00B16C94">
          <w:rPr>
            <w:rStyle w:val="Hyperlink"/>
          </w:rPr>
          <w:t>Financijski rezultati</w:t>
        </w:r>
        <w:r w:rsidR="00CA1CF3">
          <w:rPr>
            <w:webHidden/>
          </w:rPr>
          <w:tab/>
        </w:r>
        <w:r w:rsidR="00CA1CF3">
          <w:rPr>
            <w:webHidden/>
          </w:rPr>
          <w:fldChar w:fldCharType="begin"/>
        </w:r>
        <w:r w:rsidR="00CA1CF3">
          <w:rPr>
            <w:webHidden/>
          </w:rPr>
          <w:instrText xml:space="preserve"> PAGEREF _Toc533660872 \h </w:instrText>
        </w:r>
        <w:r w:rsidR="00CA1CF3">
          <w:rPr>
            <w:webHidden/>
          </w:rPr>
        </w:r>
        <w:r w:rsidR="00CA1CF3">
          <w:rPr>
            <w:webHidden/>
          </w:rPr>
          <w:fldChar w:fldCharType="separate"/>
        </w:r>
        <w:r w:rsidR="00CA1CF3">
          <w:rPr>
            <w:webHidden/>
          </w:rPr>
          <w:t>- 33 -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73" w:history="1">
        <w:r w:rsidR="00CA1CF3" w:rsidRPr="00B16C94">
          <w:rPr>
            <w:rStyle w:val="Hyperlink"/>
          </w:rPr>
          <w:t>6.3.</w:t>
        </w:r>
        <w:r w:rsidR="00CA1CF3">
          <w:rPr>
            <w:rFonts w:asciiTheme="minorHAnsi" w:eastAsiaTheme="minorEastAsia" w:hAnsiTheme="minorHAnsi" w:cstheme="minorBidi"/>
            <w:b w:val="0"/>
          </w:rPr>
          <w:tab/>
        </w:r>
        <w:r w:rsidR="00CA1CF3" w:rsidRPr="00B16C94">
          <w:rPr>
            <w:rStyle w:val="Hyperlink"/>
          </w:rPr>
          <w:t>Planirane investicije</w:t>
        </w:r>
        <w:r w:rsidR="00CA1CF3">
          <w:rPr>
            <w:webHidden/>
          </w:rPr>
          <w:tab/>
        </w:r>
        <w:r w:rsidR="00CA1CF3">
          <w:rPr>
            <w:webHidden/>
          </w:rPr>
          <w:fldChar w:fldCharType="begin"/>
        </w:r>
        <w:r w:rsidR="00CA1CF3">
          <w:rPr>
            <w:webHidden/>
          </w:rPr>
          <w:instrText xml:space="preserve"> PAGEREF _Toc533660873 \h </w:instrText>
        </w:r>
        <w:r w:rsidR="00CA1CF3">
          <w:rPr>
            <w:webHidden/>
          </w:rPr>
        </w:r>
        <w:r w:rsidR="00CA1CF3">
          <w:rPr>
            <w:webHidden/>
          </w:rPr>
          <w:fldChar w:fldCharType="separate"/>
        </w:r>
        <w:r w:rsidR="00CA1CF3">
          <w:rPr>
            <w:webHidden/>
          </w:rPr>
          <w:t>- 35 -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74" w:history="1">
        <w:r w:rsidR="00CA1CF3" w:rsidRPr="00B16C94">
          <w:rPr>
            <w:rStyle w:val="Hyperlink"/>
          </w:rPr>
          <w:t>6.4.</w:t>
        </w:r>
        <w:r w:rsidR="00CA1CF3">
          <w:rPr>
            <w:rFonts w:asciiTheme="minorHAnsi" w:eastAsiaTheme="minorEastAsia" w:hAnsiTheme="minorHAnsi" w:cstheme="minorBidi"/>
            <w:b w:val="0"/>
          </w:rPr>
          <w:tab/>
        </w:r>
        <w:r w:rsidR="00CA1CF3" w:rsidRPr="00B16C94">
          <w:rPr>
            <w:rStyle w:val="Hyperlink"/>
          </w:rPr>
          <w:t>Pokazatelji uspješnosti poslovanja</w:t>
        </w:r>
        <w:r w:rsidR="00CA1CF3">
          <w:rPr>
            <w:webHidden/>
          </w:rPr>
          <w:tab/>
        </w:r>
        <w:r w:rsidR="00CA1CF3">
          <w:rPr>
            <w:webHidden/>
          </w:rPr>
          <w:fldChar w:fldCharType="begin"/>
        </w:r>
        <w:r w:rsidR="00CA1CF3">
          <w:rPr>
            <w:webHidden/>
          </w:rPr>
          <w:instrText xml:space="preserve"> PAGEREF _Toc533660874 \h </w:instrText>
        </w:r>
        <w:r w:rsidR="00CA1CF3">
          <w:rPr>
            <w:webHidden/>
          </w:rPr>
        </w:r>
        <w:r w:rsidR="00CA1CF3">
          <w:rPr>
            <w:webHidden/>
          </w:rPr>
          <w:fldChar w:fldCharType="separate"/>
        </w:r>
        <w:r w:rsidR="00CA1CF3">
          <w:rPr>
            <w:webHidden/>
          </w:rPr>
          <w:t>- 37 -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75" w:history="1">
        <w:r w:rsidR="00CA1CF3" w:rsidRPr="00B16C94">
          <w:rPr>
            <w:rStyle w:val="Hyperlink"/>
          </w:rPr>
          <w:t>6.5.</w:t>
        </w:r>
        <w:r w:rsidR="00CA1CF3">
          <w:rPr>
            <w:rFonts w:asciiTheme="minorHAnsi" w:eastAsiaTheme="minorEastAsia" w:hAnsiTheme="minorHAnsi" w:cstheme="minorBidi"/>
            <w:b w:val="0"/>
          </w:rPr>
          <w:tab/>
        </w:r>
        <w:r w:rsidR="00CA1CF3" w:rsidRPr="00B16C94">
          <w:rPr>
            <w:rStyle w:val="Hyperlink"/>
          </w:rPr>
          <w:t>Planirana sredstva u korist državnog proračuna</w:t>
        </w:r>
        <w:r w:rsidR="00CA1CF3">
          <w:rPr>
            <w:webHidden/>
          </w:rPr>
          <w:tab/>
        </w:r>
        <w:r w:rsidR="00CA1CF3">
          <w:rPr>
            <w:webHidden/>
          </w:rPr>
          <w:fldChar w:fldCharType="begin"/>
        </w:r>
        <w:r w:rsidR="00CA1CF3">
          <w:rPr>
            <w:webHidden/>
          </w:rPr>
          <w:instrText xml:space="preserve"> PAGEREF _Toc533660875 \h </w:instrText>
        </w:r>
        <w:r w:rsidR="00CA1CF3">
          <w:rPr>
            <w:webHidden/>
          </w:rPr>
        </w:r>
        <w:r w:rsidR="00CA1CF3">
          <w:rPr>
            <w:webHidden/>
          </w:rPr>
          <w:fldChar w:fldCharType="separate"/>
        </w:r>
        <w:r w:rsidR="00CA1CF3">
          <w:rPr>
            <w:webHidden/>
          </w:rPr>
          <w:t>- 39 -</w:t>
        </w:r>
        <w:r w:rsidR="00CA1CF3">
          <w:rPr>
            <w:webHidden/>
          </w:rPr>
          <w:fldChar w:fldCharType="end"/>
        </w:r>
      </w:hyperlink>
    </w:p>
    <w:p w:rsidR="00CA1CF3" w:rsidRDefault="005E7484">
      <w:pPr>
        <w:pStyle w:val="TOC1"/>
        <w:rPr>
          <w:rFonts w:asciiTheme="minorHAnsi" w:eastAsiaTheme="minorEastAsia" w:hAnsiTheme="minorHAnsi" w:cstheme="minorBidi"/>
          <w:b w:val="0"/>
        </w:rPr>
      </w:pPr>
      <w:hyperlink w:anchor="_Toc533660876" w:history="1">
        <w:r w:rsidR="00CA1CF3" w:rsidRPr="00B16C94">
          <w:rPr>
            <w:rStyle w:val="Hyperlink"/>
          </w:rPr>
          <w:t>6.5.1. Planirana sredstva za financiranje organizacija sukladno čl. 8 Zakona  o igrama na sreću</w:t>
        </w:r>
        <w:r w:rsidR="00CA1CF3">
          <w:rPr>
            <w:webHidden/>
          </w:rPr>
          <w:tab/>
        </w:r>
        <w:r w:rsidR="00CA1CF3">
          <w:rPr>
            <w:webHidden/>
          </w:rPr>
          <w:fldChar w:fldCharType="begin"/>
        </w:r>
        <w:r w:rsidR="00CA1CF3">
          <w:rPr>
            <w:webHidden/>
          </w:rPr>
          <w:instrText xml:space="preserve"> PAGEREF _Toc533660876 \h </w:instrText>
        </w:r>
        <w:r w:rsidR="00CA1CF3">
          <w:rPr>
            <w:webHidden/>
          </w:rPr>
        </w:r>
        <w:r w:rsidR="00CA1CF3">
          <w:rPr>
            <w:webHidden/>
          </w:rPr>
          <w:fldChar w:fldCharType="separate"/>
        </w:r>
        <w:r w:rsidR="00CA1CF3">
          <w:rPr>
            <w:webHidden/>
          </w:rPr>
          <w:t>- 40 -</w:t>
        </w:r>
        <w:r w:rsidR="00CA1CF3">
          <w:rPr>
            <w:webHidden/>
          </w:rPr>
          <w:fldChar w:fldCharType="end"/>
        </w:r>
      </w:hyperlink>
    </w:p>
    <w:p w:rsidR="00001014" w:rsidRPr="00174A1D" w:rsidRDefault="003A09B6" w:rsidP="009707D7">
      <w:pPr>
        <w:tabs>
          <w:tab w:val="right" w:leader="dot" w:pos="9639"/>
        </w:tabs>
        <w:rPr>
          <w:rFonts w:cs="Calibri"/>
          <w:bCs/>
        </w:rPr>
      </w:pPr>
      <w:r w:rsidRPr="00E03894">
        <w:rPr>
          <w:rFonts w:cs="Calibri"/>
          <w:bCs/>
        </w:rPr>
        <w:fldChar w:fldCharType="end"/>
      </w:r>
    </w:p>
    <w:p w:rsidR="003A09B6" w:rsidRPr="001D24E4" w:rsidRDefault="005C0FD7" w:rsidP="009C7C8C">
      <w:pPr>
        <w:pStyle w:val="Heading1"/>
        <w:numPr>
          <w:ilvl w:val="0"/>
          <w:numId w:val="21"/>
        </w:numPr>
        <w:jc w:val="both"/>
        <w:rPr>
          <w:rFonts w:ascii="Calibri" w:hAnsi="Calibri" w:cs="Calibri"/>
          <w:sz w:val="28"/>
          <w:szCs w:val="28"/>
        </w:rPr>
      </w:pPr>
      <w:bookmarkStart w:id="1" w:name="_Toc533660847"/>
      <w:r>
        <w:rPr>
          <w:rFonts w:ascii="Calibri" w:hAnsi="Calibri" w:cs="Calibri"/>
          <w:sz w:val="28"/>
          <w:szCs w:val="28"/>
        </w:rPr>
        <w:t>OSNOVNI PODACI</w:t>
      </w:r>
      <w:bookmarkEnd w:id="1"/>
    </w:p>
    <w:p w:rsidR="003A09B6" w:rsidRPr="001D24E4" w:rsidRDefault="003A09B6" w:rsidP="003A09B6">
      <w:pPr>
        <w:jc w:val="both"/>
        <w:rPr>
          <w:rFonts w:cs="Calibri"/>
        </w:rPr>
      </w:pPr>
    </w:p>
    <w:p w:rsidR="005C0FD7" w:rsidRDefault="00492C86" w:rsidP="003A09B6">
      <w:pPr>
        <w:pStyle w:val="ListParagraph"/>
        <w:ind w:left="0"/>
        <w:jc w:val="both"/>
        <w:rPr>
          <w:rFonts w:cs="Calibri"/>
        </w:rPr>
      </w:pPr>
      <w:r w:rsidRPr="007A598F">
        <w:rPr>
          <w:rFonts w:cs="Calibri"/>
        </w:rPr>
        <w:t xml:space="preserve">Hrvatska </w:t>
      </w:r>
      <w:r w:rsidR="00092BB7">
        <w:rPr>
          <w:rFonts w:cs="Calibri"/>
        </w:rPr>
        <w:t>L</w:t>
      </w:r>
      <w:r w:rsidRPr="007A598F">
        <w:rPr>
          <w:rFonts w:cs="Calibri"/>
        </w:rPr>
        <w:t>utrija d.o.o. Zagreb</w:t>
      </w:r>
      <w:r w:rsidR="00A074FC">
        <w:rPr>
          <w:rFonts w:cs="Calibri"/>
        </w:rPr>
        <w:t xml:space="preserve"> </w:t>
      </w:r>
      <w:r w:rsidRPr="007A598F">
        <w:rPr>
          <w:rFonts w:cs="Calibri"/>
        </w:rPr>
        <w:t xml:space="preserve">je društvo s ograničenom odgovornošću za organiziranje i priređivanje igara na sreću te zabavnih igara. </w:t>
      </w:r>
    </w:p>
    <w:p w:rsidR="005C0FD7" w:rsidRDefault="00492C86" w:rsidP="003A09B6">
      <w:pPr>
        <w:pStyle w:val="ListParagraph"/>
        <w:ind w:left="0"/>
        <w:jc w:val="both"/>
        <w:rPr>
          <w:rFonts w:cs="Calibri"/>
        </w:rPr>
      </w:pPr>
      <w:r w:rsidRPr="007A598F">
        <w:rPr>
          <w:rFonts w:cs="Calibri"/>
        </w:rPr>
        <w:t>Sukladno Uredbi o osnivanju Hrvatske lutrije</w:t>
      </w:r>
      <w:r w:rsidR="00FD3803" w:rsidRPr="007A598F">
        <w:rPr>
          <w:rFonts w:cs="Calibri"/>
        </w:rPr>
        <w:t xml:space="preserve"> d.o.o. (NN 12/92), jedini osnivač društva je Republika Hrvatska. </w:t>
      </w:r>
    </w:p>
    <w:p w:rsidR="00FD3803" w:rsidRPr="007A598F" w:rsidRDefault="00FD3803" w:rsidP="003A09B6">
      <w:pPr>
        <w:pStyle w:val="ListParagraph"/>
        <w:ind w:left="0"/>
        <w:jc w:val="both"/>
        <w:rPr>
          <w:rFonts w:cs="Calibri"/>
        </w:rPr>
      </w:pPr>
      <w:r w:rsidRPr="007A598F">
        <w:rPr>
          <w:rFonts w:cs="Calibri"/>
        </w:rPr>
        <w:t xml:space="preserve">Sustav, vrste i uvjeti </w:t>
      </w:r>
      <w:r w:rsidR="00092BB7" w:rsidRPr="007A598F">
        <w:rPr>
          <w:rFonts w:cs="Calibri"/>
        </w:rPr>
        <w:t>priređivanja</w:t>
      </w:r>
      <w:r w:rsidRPr="007A598F">
        <w:rPr>
          <w:rFonts w:cs="Calibri"/>
        </w:rPr>
        <w:t xml:space="preserve"> igara na sreću uređeni su Zakonom o igrama na sreću koji je u primjeni od 1.1.2010. godine (</w:t>
      </w:r>
      <w:r w:rsidR="000B09EA" w:rsidRPr="007A598F">
        <w:rPr>
          <w:rFonts w:cs="Calibri"/>
        </w:rPr>
        <w:t xml:space="preserve">NN br. </w:t>
      </w:r>
      <w:hyperlink r:id="rId14" w:history="1">
        <w:r w:rsidRPr="007A598F">
          <w:rPr>
            <w:rFonts w:cs="Calibri"/>
          </w:rPr>
          <w:t>87/09</w:t>
        </w:r>
      </w:hyperlink>
      <w:r w:rsidRPr="007A598F">
        <w:rPr>
          <w:rFonts w:cs="Calibri"/>
        </w:rPr>
        <w:t>, </w:t>
      </w:r>
      <w:hyperlink r:id="rId15" w:history="1">
        <w:r w:rsidRPr="007A598F">
          <w:rPr>
            <w:rFonts w:cs="Calibri"/>
          </w:rPr>
          <w:t>35/13</w:t>
        </w:r>
      </w:hyperlink>
      <w:r w:rsidRPr="007A598F">
        <w:rPr>
          <w:rFonts w:cs="Calibri"/>
        </w:rPr>
        <w:t>, </w:t>
      </w:r>
      <w:hyperlink r:id="rId16" w:history="1">
        <w:r w:rsidRPr="007A598F">
          <w:rPr>
            <w:rFonts w:cs="Calibri"/>
          </w:rPr>
          <w:t>158/13</w:t>
        </w:r>
      </w:hyperlink>
      <w:r w:rsidRPr="007A598F">
        <w:rPr>
          <w:rFonts w:cs="Calibri"/>
        </w:rPr>
        <w:t>, </w:t>
      </w:r>
      <w:hyperlink r:id="rId17" w:history="1">
        <w:r w:rsidRPr="007A598F">
          <w:rPr>
            <w:rFonts w:cs="Calibri"/>
          </w:rPr>
          <w:t>41/14</w:t>
        </w:r>
      </w:hyperlink>
      <w:r w:rsidRPr="007A598F">
        <w:rPr>
          <w:rFonts w:cs="Calibri"/>
        </w:rPr>
        <w:t>, </w:t>
      </w:r>
      <w:hyperlink r:id="rId18" w:history="1">
        <w:r w:rsidRPr="007A598F">
          <w:rPr>
            <w:rFonts w:cs="Calibri"/>
          </w:rPr>
          <w:t>143/14</w:t>
        </w:r>
      </w:hyperlink>
      <w:r w:rsidR="000B09EA" w:rsidRPr="007A598F">
        <w:rPr>
          <w:rFonts w:cs="Calibri"/>
        </w:rPr>
        <w:t>).</w:t>
      </w:r>
    </w:p>
    <w:p w:rsidR="005C0FD7" w:rsidRDefault="005C0FD7" w:rsidP="000B09EA">
      <w:pPr>
        <w:pStyle w:val="ListParagraph"/>
        <w:ind w:left="0"/>
        <w:jc w:val="both"/>
        <w:rPr>
          <w:rFonts w:cs="Calibri"/>
        </w:rPr>
      </w:pPr>
    </w:p>
    <w:p w:rsidR="000B09EA" w:rsidRPr="007A598F" w:rsidRDefault="000B09EA" w:rsidP="000B09EA">
      <w:pPr>
        <w:pStyle w:val="ListParagraph"/>
        <w:ind w:left="0"/>
        <w:jc w:val="both"/>
        <w:rPr>
          <w:rFonts w:cs="Calibri"/>
        </w:rPr>
      </w:pPr>
      <w:r w:rsidRPr="007A598F">
        <w:rPr>
          <w:rFonts w:cs="Calibri"/>
        </w:rPr>
        <w:t>Osnovni podaci:</w:t>
      </w:r>
    </w:p>
    <w:p w:rsidR="000B09EA" w:rsidRPr="007A598F" w:rsidRDefault="000B09EA" w:rsidP="009C7C8C">
      <w:pPr>
        <w:pStyle w:val="ListParagraph"/>
        <w:numPr>
          <w:ilvl w:val="0"/>
          <w:numId w:val="1"/>
        </w:numPr>
        <w:jc w:val="both"/>
        <w:rPr>
          <w:rFonts w:cs="Calibri"/>
        </w:rPr>
      </w:pPr>
      <w:r w:rsidRPr="007A598F">
        <w:rPr>
          <w:rFonts w:cs="Calibri"/>
        </w:rPr>
        <w:t>sjedište: Ulica grada Vukovara 72, 10 000 Zagreb</w:t>
      </w:r>
    </w:p>
    <w:p w:rsidR="000B09EA" w:rsidRPr="007A598F" w:rsidRDefault="000B09EA" w:rsidP="009C7C8C">
      <w:pPr>
        <w:pStyle w:val="ListParagraph"/>
        <w:numPr>
          <w:ilvl w:val="0"/>
          <w:numId w:val="1"/>
        </w:numPr>
        <w:jc w:val="both"/>
        <w:rPr>
          <w:rFonts w:cs="Calibri"/>
        </w:rPr>
      </w:pPr>
      <w:r w:rsidRPr="007A598F">
        <w:rPr>
          <w:rFonts w:cs="Calibri"/>
        </w:rPr>
        <w:t>osobni identifikacijski broj društva (OIB): 27905228158</w:t>
      </w:r>
    </w:p>
    <w:p w:rsidR="000B09EA" w:rsidRDefault="000B09EA" w:rsidP="009C7C8C">
      <w:pPr>
        <w:pStyle w:val="ListParagraph"/>
        <w:numPr>
          <w:ilvl w:val="0"/>
          <w:numId w:val="1"/>
        </w:numPr>
        <w:jc w:val="both"/>
        <w:rPr>
          <w:rFonts w:cs="Calibri"/>
        </w:rPr>
      </w:pPr>
      <w:r w:rsidRPr="007A598F">
        <w:rPr>
          <w:rFonts w:cs="Calibri"/>
        </w:rPr>
        <w:t>upisana kod Trgovačkog suda u Zagrebu, broj upisa: 080200694 </w:t>
      </w:r>
    </w:p>
    <w:p w:rsidR="00180163" w:rsidRPr="007A598F" w:rsidRDefault="00180163" w:rsidP="009C7C8C">
      <w:pPr>
        <w:pStyle w:val="ListParagraph"/>
        <w:numPr>
          <w:ilvl w:val="0"/>
          <w:numId w:val="1"/>
        </w:numPr>
        <w:jc w:val="both"/>
        <w:rPr>
          <w:rFonts w:cs="Calibri"/>
        </w:rPr>
      </w:pPr>
      <w:r>
        <w:rPr>
          <w:rFonts w:cs="Calibri"/>
        </w:rPr>
        <w:t>brojčana oznaka pravno ustrojstvenog oblika: 92</w:t>
      </w:r>
    </w:p>
    <w:p w:rsidR="000B09EA" w:rsidRPr="007A598F" w:rsidRDefault="000B09EA" w:rsidP="009C7C8C">
      <w:pPr>
        <w:pStyle w:val="ListParagraph"/>
        <w:numPr>
          <w:ilvl w:val="0"/>
          <w:numId w:val="1"/>
        </w:numPr>
        <w:jc w:val="both"/>
        <w:rPr>
          <w:rFonts w:cs="Calibri"/>
        </w:rPr>
      </w:pPr>
      <w:r w:rsidRPr="007A598F">
        <w:rPr>
          <w:rFonts w:cs="Calibri"/>
        </w:rPr>
        <w:t>broj žiro računa: HR0223400091100010651, kod Privredna banka Zagreb d.d. </w:t>
      </w:r>
    </w:p>
    <w:p w:rsidR="000B09EA" w:rsidRDefault="000B09EA" w:rsidP="009C7C8C">
      <w:pPr>
        <w:pStyle w:val="ListParagraph"/>
        <w:numPr>
          <w:ilvl w:val="0"/>
          <w:numId w:val="1"/>
        </w:numPr>
        <w:jc w:val="both"/>
        <w:rPr>
          <w:rFonts w:cs="Calibri"/>
        </w:rPr>
      </w:pPr>
      <w:r w:rsidRPr="007A598F">
        <w:rPr>
          <w:rFonts w:cs="Calibri"/>
        </w:rPr>
        <w:t>temeljni kapital: 50.000.000,00 kn, uplaćen u cijelosti </w:t>
      </w:r>
    </w:p>
    <w:p w:rsidR="005C0FD7" w:rsidRPr="009707D7" w:rsidRDefault="005C0FD7" w:rsidP="009C7C8C">
      <w:pPr>
        <w:pStyle w:val="ListParagraph"/>
        <w:numPr>
          <w:ilvl w:val="0"/>
          <w:numId w:val="1"/>
        </w:numPr>
        <w:jc w:val="both"/>
        <w:rPr>
          <w:rFonts w:cs="Calibri"/>
        </w:rPr>
      </w:pPr>
      <w:r w:rsidRPr="009707D7">
        <w:rPr>
          <w:rFonts w:cs="Calibri"/>
        </w:rPr>
        <w:t xml:space="preserve">Broj zaposlenih na dan </w:t>
      </w:r>
      <w:r w:rsidRPr="008F42F2">
        <w:rPr>
          <w:rFonts w:cs="Calibri"/>
        </w:rPr>
        <w:t>31.10.2018.: 1.377</w:t>
      </w:r>
    </w:p>
    <w:p w:rsidR="005C0FD7" w:rsidRDefault="005C0FD7" w:rsidP="001E5220">
      <w:pPr>
        <w:pStyle w:val="ListParagraph"/>
        <w:ind w:left="0"/>
        <w:jc w:val="both"/>
        <w:rPr>
          <w:rFonts w:cs="Calibri"/>
        </w:rPr>
      </w:pPr>
    </w:p>
    <w:p w:rsidR="005C0FD7" w:rsidRDefault="005C0FD7" w:rsidP="001E5220">
      <w:pPr>
        <w:pStyle w:val="ListParagraph"/>
        <w:ind w:left="0"/>
        <w:jc w:val="both"/>
        <w:rPr>
          <w:rFonts w:cs="Calibri"/>
        </w:rPr>
      </w:pPr>
      <w:r>
        <w:rPr>
          <w:rFonts w:cs="Calibri"/>
        </w:rPr>
        <w:t>Uprava:</w:t>
      </w:r>
    </w:p>
    <w:p w:rsidR="000B09EA" w:rsidRPr="005C0FD7" w:rsidRDefault="005C0FD7" w:rsidP="001E5220">
      <w:pPr>
        <w:pStyle w:val="ListParagraph"/>
        <w:ind w:left="0"/>
        <w:jc w:val="both"/>
        <w:rPr>
          <w:rFonts w:cs="Calibri"/>
        </w:rPr>
      </w:pPr>
      <w:r>
        <w:rPr>
          <w:rFonts w:cs="Calibri"/>
        </w:rPr>
        <w:t xml:space="preserve">Predsjednik: </w:t>
      </w:r>
      <w:r w:rsidR="000B09EA" w:rsidRPr="005C0FD7">
        <w:rPr>
          <w:rFonts w:cs="Calibri"/>
        </w:rPr>
        <w:t>Mario Musa</w:t>
      </w:r>
    </w:p>
    <w:p w:rsidR="000B09EA" w:rsidRDefault="000B09EA" w:rsidP="001E5220">
      <w:pPr>
        <w:pStyle w:val="ListParagraph"/>
        <w:ind w:left="0"/>
        <w:jc w:val="both"/>
        <w:rPr>
          <w:rFonts w:cs="Calibri"/>
        </w:rPr>
      </w:pPr>
      <w:r w:rsidRPr="005C0FD7">
        <w:rPr>
          <w:rFonts w:cs="Calibri"/>
        </w:rPr>
        <w:t>Član</w:t>
      </w:r>
      <w:r w:rsidR="005C0FD7" w:rsidRPr="005C0FD7">
        <w:rPr>
          <w:rFonts w:cs="Calibri"/>
        </w:rPr>
        <w:t xml:space="preserve">: </w:t>
      </w:r>
      <w:r w:rsidRPr="005C0FD7">
        <w:rPr>
          <w:rFonts w:cs="Calibri"/>
        </w:rPr>
        <w:t>Eugen Sunara</w:t>
      </w:r>
    </w:p>
    <w:p w:rsidR="001E5220" w:rsidRDefault="001E5220" w:rsidP="000B09EA">
      <w:pPr>
        <w:pStyle w:val="ListParagraph"/>
        <w:ind w:left="0"/>
        <w:jc w:val="both"/>
        <w:rPr>
          <w:rFonts w:cs="Calibri"/>
        </w:rPr>
      </w:pPr>
    </w:p>
    <w:p w:rsidR="005C0FD7" w:rsidRDefault="005C0FD7" w:rsidP="000B09EA">
      <w:pPr>
        <w:pStyle w:val="ListParagraph"/>
        <w:ind w:left="0"/>
        <w:jc w:val="both"/>
        <w:rPr>
          <w:rFonts w:cs="Calibri"/>
        </w:rPr>
      </w:pPr>
      <w:r>
        <w:rPr>
          <w:rFonts w:cs="Calibri"/>
        </w:rPr>
        <w:t>Nadzorni odbor:</w:t>
      </w:r>
    </w:p>
    <w:p w:rsidR="001E5220" w:rsidRPr="001E5220" w:rsidRDefault="00E2429E" w:rsidP="001E5220">
      <w:pPr>
        <w:pStyle w:val="ListParagraph"/>
        <w:ind w:left="0"/>
        <w:jc w:val="both"/>
        <w:rPr>
          <w:rFonts w:cs="Calibri"/>
        </w:rPr>
      </w:pPr>
      <w:r>
        <w:rPr>
          <w:rFonts w:cs="Calibri"/>
        </w:rPr>
        <w:t>Predsjednik</w:t>
      </w:r>
      <w:r w:rsidR="001E5220">
        <w:rPr>
          <w:rFonts w:cs="Calibri"/>
        </w:rPr>
        <w:t xml:space="preserve">: </w:t>
      </w:r>
      <w:r w:rsidR="001E5220" w:rsidRPr="001E5220">
        <w:rPr>
          <w:rFonts w:cs="Calibri"/>
        </w:rPr>
        <w:t>dr.sc. Hrvoje Šimović</w:t>
      </w:r>
    </w:p>
    <w:p w:rsidR="00E2429E" w:rsidRPr="001E5220" w:rsidRDefault="00E2429E" w:rsidP="00E2429E">
      <w:pPr>
        <w:pStyle w:val="ListParagraph"/>
        <w:ind w:left="0"/>
        <w:jc w:val="both"/>
        <w:rPr>
          <w:rFonts w:cs="Calibri"/>
        </w:rPr>
      </w:pPr>
      <w:r>
        <w:rPr>
          <w:rFonts w:cs="Calibri"/>
        </w:rPr>
        <w:t xml:space="preserve">Član: </w:t>
      </w:r>
      <w:r w:rsidRPr="001E5220">
        <w:rPr>
          <w:rFonts w:cs="Calibri"/>
        </w:rPr>
        <w:t>Ivana Ravlić Ivanović</w:t>
      </w:r>
    </w:p>
    <w:p w:rsidR="005C0FD7" w:rsidRDefault="001E5220" w:rsidP="000B09EA">
      <w:pPr>
        <w:pStyle w:val="ListParagraph"/>
        <w:ind w:left="0"/>
        <w:jc w:val="both"/>
        <w:rPr>
          <w:rFonts w:cs="Calibri"/>
        </w:rPr>
      </w:pPr>
      <w:r>
        <w:rPr>
          <w:rFonts w:cs="Calibri"/>
        </w:rPr>
        <w:t xml:space="preserve">Član: </w:t>
      </w:r>
      <w:r w:rsidR="00B24D26">
        <w:rPr>
          <w:rFonts w:cs="Calibri"/>
        </w:rPr>
        <w:t>struč.spec.oec. Jasminka Lojen</w:t>
      </w:r>
    </w:p>
    <w:p w:rsidR="005C0FD7" w:rsidRDefault="005C0FD7" w:rsidP="000B09EA">
      <w:pPr>
        <w:pStyle w:val="ListParagraph"/>
        <w:ind w:left="0"/>
        <w:jc w:val="both"/>
        <w:rPr>
          <w:rFonts w:cs="Calibri"/>
        </w:rPr>
      </w:pPr>
    </w:p>
    <w:p w:rsidR="005C0FD7" w:rsidRDefault="005C0FD7" w:rsidP="000B09EA">
      <w:pPr>
        <w:pStyle w:val="ListParagraph"/>
        <w:ind w:left="0"/>
        <w:jc w:val="both"/>
        <w:rPr>
          <w:rFonts w:cs="Calibri"/>
        </w:rPr>
      </w:pPr>
      <w:r>
        <w:rPr>
          <w:rFonts w:cs="Calibri"/>
        </w:rPr>
        <w:t>Skupština:</w:t>
      </w:r>
      <w:r w:rsidR="001E5220" w:rsidRPr="001E5220">
        <w:rPr>
          <w:rFonts w:ascii="Arial" w:hAnsi="Arial" w:cs="Arial"/>
          <w:color w:val="000000"/>
          <w:sz w:val="18"/>
          <w:szCs w:val="18"/>
          <w:shd w:val="clear" w:color="auto" w:fill="FFFFFF"/>
        </w:rPr>
        <w:t xml:space="preserve"> </w:t>
      </w:r>
    </w:p>
    <w:p w:rsidR="005C0FD7" w:rsidRDefault="001E5220" w:rsidP="000B09EA">
      <w:pPr>
        <w:pStyle w:val="ListParagraph"/>
        <w:ind w:left="0"/>
        <w:jc w:val="both"/>
        <w:rPr>
          <w:rFonts w:cs="Calibri"/>
        </w:rPr>
      </w:pPr>
      <w:r>
        <w:rPr>
          <w:rFonts w:cs="Calibri"/>
        </w:rPr>
        <w:t>Predsjednik:</w:t>
      </w:r>
      <w:r w:rsidRPr="001E5220">
        <w:rPr>
          <w:rFonts w:cs="Calibri"/>
        </w:rPr>
        <w:t xml:space="preserve"> dr.sc. Zdravko Marić</w:t>
      </w:r>
    </w:p>
    <w:p w:rsidR="005C0FD7" w:rsidRDefault="003A2980" w:rsidP="000B09EA">
      <w:pPr>
        <w:pStyle w:val="ListParagraph"/>
        <w:ind w:left="0"/>
        <w:jc w:val="both"/>
        <w:rPr>
          <w:rFonts w:cs="Calibri"/>
        </w:rPr>
      </w:pPr>
      <w:r>
        <w:rPr>
          <w:rFonts w:cs="Calibri"/>
        </w:rPr>
        <w:t xml:space="preserve">Član: </w:t>
      </w:r>
      <w:r w:rsidRPr="003A2980">
        <w:rPr>
          <w:rFonts w:cs="Calibri"/>
        </w:rPr>
        <w:t>dr.sc. Nina Obuljen Koržinek</w:t>
      </w:r>
    </w:p>
    <w:p w:rsidR="003A2980" w:rsidRDefault="003A2980" w:rsidP="000B09EA">
      <w:pPr>
        <w:pStyle w:val="ListParagraph"/>
        <w:ind w:left="0"/>
        <w:jc w:val="both"/>
        <w:rPr>
          <w:rFonts w:cs="Calibri"/>
        </w:rPr>
      </w:pPr>
      <w:r>
        <w:rPr>
          <w:rFonts w:cs="Calibri"/>
        </w:rPr>
        <w:lastRenderedPageBreak/>
        <w:t>Član:</w:t>
      </w:r>
      <w:r w:rsidRPr="003A2980">
        <w:rPr>
          <w:rFonts w:ascii="Arial" w:hAnsi="Arial" w:cs="Arial"/>
          <w:color w:val="000000"/>
          <w:sz w:val="18"/>
          <w:szCs w:val="18"/>
          <w:shd w:val="clear" w:color="auto" w:fill="FFFFFF"/>
        </w:rPr>
        <w:t xml:space="preserve"> </w:t>
      </w:r>
      <w:r w:rsidRPr="003A2980">
        <w:rPr>
          <w:rFonts w:cs="Calibri"/>
        </w:rPr>
        <w:t>prof.dr.sc. Blaženka Divjak</w:t>
      </w:r>
    </w:p>
    <w:p w:rsidR="003A2980" w:rsidRDefault="003A2980" w:rsidP="000B09EA">
      <w:pPr>
        <w:pStyle w:val="ListParagraph"/>
        <w:ind w:left="0"/>
        <w:jc w:val="both"/>
        <w:rPr>
          <w:rFonts w:cs="Calibri"/>
        </w:rPr>
      </w:pPr>
    </w:p>
    <w:p w:rsidR="00B24D26" w:rsidRDefault="00B24D26" w:rsidP="000B09EA">
      <w:pPr>
        <w:pStyle w:val="ListParagraph"/>
        <w:ind w:left="0"/>
        <w:jc w:val="both"/>
        <w:rPr>
          <w:rFonts w:cs="Calibri"/>
        </w:rPr>
      </w:pPr>
    </w:p>
    <w:p w:rsidR="00962E5E" w:rsidRPr="007A598F" w:rsidRDefault="00180163" w:rsidP="000B09EA">
      <w:pPr>
        <w:pStyle w:val="ListParagraph"/>
        <w:ind w:left="0"/>
        <w:jc w:val="both"/>
        <w:rPr>
          <w:rFonts w:cs="Calibri"/>
        </w:rPr>
      </w:pPr>
      <w:r>
        <w:rPr>
          <w:rFonts w:cs="Calibri"/>
        </w:rPr>
        <w:t>V</w:t>
      </w:r>
      <w:r w:rsidR="00962E5E" w:rsidRPr="007A598F">
        <w:rPr>
          <w:rFonts w:cs="Calibri"/>
        </w:rPr>
        <w:t xml:space="preserve">izija: </w:t>
      </w:r>
    </w:p>
    <w:p w:rsidR="000B09EA" w:rsidRPr="007A598F" w:rsidRDefault="00024339" w:rsidP="000B09EA">
      <w:pPr>
        <w:pStyle w:val="ListParagraph"/>
        <w:ind w:left="0"/>
        <w:jc w:val="both"/>
        <w:rPr>
          <w:rFonts w:cs="Calibri"/>
        </w:rPr>
      </w:pPr>
      <w:r w:rsidRPr="007A598F">
        <w:rPr>
          <w:rFonts w:cs="Calibri"/>
        </w:rPr>
        <w:t>Omogućiti vrhunski doživljaj igranja kroz kvalitetno, pouzdano i odgovorno priređivanje igara na sreću. Prikupljanjem sredstava kroz igru dati značajan doprinos razvoju društva.</w:t>
      </w:r>
    </w:p>
    <w:p w:rsidR="000B09EA" w:rsidRPr="007A598F" w:rsidRDefault="000B09EA" w:rsidP="000B09EA">
      <w:pPr>
        <w:pStyle w:val="ListParagraph"/>
        <w:ind w:left="0"/>
        <w:jc w:val="both"/>
        <w:rPr>
          <w:rFonts w:cs="Calibri"/>
        </w:rPr>
      </w:pPr>
    </w:p>
    <w:p w:rsidR="003A09B6" w:rsidRPr="007A598F" w:rsidRDefault="00180163" w:rsidP="00024339">
      <w:pPr>
        <w:pStyle w:val="ListParagraph"/>
        <w:ind w:left="0"/>
        <w:jc w:val="both"/>
        <w:rPr>
          <w:rFonts w:cs="Calibri"/>
        </w:rPr>
      </w:pPr>
      <w:r>
        <w:rPr>
          <w:rFonts w:cs="Calibri"/>
        </w:rPr>
        <w:t>M</w:t>
      </w:r>
      <w:r w:rsidR="00024339" w:rsidRPr="007A598F">
        <w:rPr>
          <w:rFonts w:cs="Calibri"/>
        </w:rPr>
        <w:t>isija:</w:t>
      </w:r>
    </w:p>
    <w:p w:rsidR="00024339" w:rsidRPr="007A598F" w:rsidRDefault="00024339" w:rsidP="00024339">
      <w:pPr>
        <w:pStyle w:val="ListParagraph"/>
        <w:ind w:left="0"/>
        <w:jc w:val="both"/>
        <w:rPr>
          <w:rFonts w:cs="Calibri"/>
        </w:rPr>
      </w:pPr>
      <w:r w:rsidRPr="007A598F">
        <w:rPr>
          <w:rFonts w:cs="Calibri"/>
        </w:rPr>
        <w:t>Bogatim asortimanom svojih proizvoda, inovativnošću, primjenom suvremenih tehnoloških dostignuća i kvalitetnom uslugom nadmašiti očekivanja igrača.</w:t>
      </w:r>
    </w:p>
    <w:p w:rsidR="00024339" w:rsidRPr="007A598F" w:rsidRDefault="00024339" w:rsidP="00024339">
      <w:pPr>
        <w:pStyle w:val="ListParagraph"/>
        <w:ind w:left="0"/>
        <w:jc w:val="both"/>
        <w:rPr>
          <w:rFonts w:cs="Calibri"/>
        </w:rPr>
      </w:pPr>
      <w:r w:rsidRPr="007A598F">
        <w:rPr>
          <w:rFonts w:cs="Calibri"/>
        </w:rPr>
        <w:t>Priređivanjem igara na sreću na kontroliran i društveno odgovoran način generirati više sredstava za društveno korisne djelatnosti i humanitarne aktivnosti.</w:t>
      </w:r>
    </w:p>
    <w:p w:rsidR="00492C86" w:rsidRPr="007A598F" w:rsidRDefault="00024339" w:rsidP="00024339">
      <w:pPr>
        <w:pStyle w:val="ListParagraph"/>
        <w:ind w:left="0"/>
        <w:jc w:val="both"/>
        <w:rPr>
          <w:rFonts w:cs="Calibri"/>
        </w:rPr>
      </w:pPr>
      <w:r w:rsidRPr="007A598F">
        <w:rPr>
          <w:rFonts w:cs="Calibri"/>
        </w:rPr>
        <w:t>Kontinuiranim poboljšanjem radnih uvjeta, poticanjem osobnog razvoja i primjerenim sustavom nagrađivanja stvoriti motivirajuće radno okruženje koje će biti temelj poslovnog uspjeha.</w:t>
      </w:r>
      <w:r w:rsidR="00492C86" w:rsidRPr="007A598F">
        <w:rPr>
          <w:rFonts w:cs="Calibri"/>
        </w:rPr>
        <w:t>  </w:t>
      </w:r>
    </w:p>
    <w:p w:rsidR="00024339" w:rsidRDefault="00024339" w:rsidP="00024339">
      <w:pPr>
        <w:pStyle w:val="ListParagraph"/>
        <w:ind w:left="0"/>
        <w:jc w:val="both"/>
        <w:rPr>
          <w:rFonts w:cs="Calibri"/>
        </w:rPr>
      </w:pPr>
    </w:p>
    <w:p w:rsidR="003A09B6" w:rsidRPr="007A598F" w:rsidRDefault="00044B28" w:rsidP="009C7C8C">
      <w:pPr>
        <w:pStyle w:val="Heading1"/>
        <w:numPr>
          <w:ilvl w:val="0"/>
          <w:numId w:val="16"/>
        </w:numPr>
        <w:jc w:val="both"/>
        <w:rPr>
          <w:rFonts w:ascii="Calibri" w:hAnsi="Calibri" w:cs="Calibri"/>
          <w:sz w:val="28"/>
          <w:szCs w:val="28"/>
        </w:rPr>
      </w:pPr>
      <w:bookmarkStart w:id="2" w:name="_Toc533660848"/>
      <w:r>
        <w:rPr>
          <w:rFonts w:ascii="Calibri" w:hAnsi="Calibri" w:cs="Calibri"/>
          <w:sz w:val="28"/>
          <w:szCs w:val="28"/>
        </w:rPr>
        <w:t>SAŽETAK</w:t>
      </w:r>
      <w:bookmarkEnd w:id="2"/>
    </w:p>
    <w:p w:rsidR="006C73F1" w:rsidRPr="007A598F" w:rsidRDefault="006C73F1" w:rsidP="006C73F1">
      <w:pPr>
        <w:spacing w:after="0" w:line="240" w:lineRule="auto"/>
        <w:jc w:val="both"/>
        <w:rPr>
          <w:rFonts w:asciiTheme="minorHAnsi" w:hAnsiTheme="minorHAnsi" w:cstheme="minorHAnsi"/>
        </w:rPr>
      </w:pPr>
    </w:p>
    <w:p w:rsidR="00044B28" w:rsidRDefault="00F42BD4" w:rsidP="00044B28">
      <w:pPr>
        <w:jc w:val="both"/>
        <w:rPr>
          <w:rFonts w:asciiTheme="minorHAnsi" w:hAnsiTheme="minorHAnsi"/>
        </w:rPr>
      </w:pPr>
      <w:r>
        <w:rPr>
          <w:rFonts w:asciiTheme="minorHAnsi" w:hAnsiTheme="minorHAnsi"/>
        </w:rPr>
        <w:t xml:space="preserve">Strateške smjernice poslovanja Hrvatske Lutrije d.o.o. definirane su Strategijom za </w:t>
      </w:r>
      <w:r w:rsidR="00044B28">
        <w:rPr>
          <w:rFonts w:asciiTheme="minorHAnsi" w:hAnsiTheme="minorHAnsi"/>
        </w:rPr>
        <w:t>razdoblje 2018.-2022.</w:t>
      </w:r>
      <w:r>
        <w:rPr>
          <w:rFonts w:asciiTheme="minorHAnsi" w:hAnsiTheme="minorHAnsi"/>
        </w:rPr>
        <w:t xml:space="preserve"> godine. Strategija uključuje prijedlog </w:t>
      </w:r>
      <w:r w:rsidR="005C7840">
        <w:rPr>
          <w:rFonts w:asciiTheme="minorHAnsi" w:hAnsiTheme="minorHAnsi"/>
        </w:rPr>
        <w:t>4 ključna područja i pripadajuće inicijative za isto razdoblje, a sa svrhom povećanja efikasnosti i unaprjeđenja tržišnog potencijala Hrvatske Lutrije d.o.o.</w:t>
      </w:r>
    </w:p>
    <w:p w:rsidR="005C7840" w:rsidRPr="007A598F" w:rsidRDefault="005C7840" w:rsidP="00044B28">
      <w:pPr>
        <w:jc w:val="both"/>
        <w:rPr>
          <w:rFonts w:asciiTheme="minorHAnsi" w:hAnsiTheme="minorHAnsi"/>
        </w:rPr>
      </w:pPr>
      <w:r>
        <w:rPr>
          <w:rFonts w:asciiTheme="minorHAnsi" w:hAnsiTheme="minorHAnsi"/>
        </w:rPr>
        <w:t xml:space="preserve">Ključne grupe strateških </w:t>
      </w:r>
      <w:r w:rsidR="00371D14">
        <w:rPr>
          <w:rFonts w:asciiTheme="minorHAnsi" w:hAnsiTheme="minorHAnsi"/>
        </w:rPr>
        <w:t>inicijativa uključuju sljedeće:</w:t>
      </w:r>
    </w:p>
    <w:p w:rsidR="00371D14" w:rsidRPr="00371D14" w:rsidRDefault="00371D14" w:rsidP="009C7C8C">
      <w:pPr>
        <w:pStyle w:val="ListParagraph"/>
        <w:numPr>
          <w:ilvl w:val="0"/>
          <w:numId w:val="12"/>
        </w:numPr>
        <w:spacing w:after="0" w:line="240" w:lineRule="auto"/>
        <w:jc w:val="both"/>
        <w:rPr>
          <w:rFonts w:eastAsia="Calibri"/>
        </w:rPr>
      </w:pPr>
      <w:r w:rsidRPr="00371D14">
        <w:rPr>
          <w:rFonts w:asciiTheme="minorHAnsi" w:hAnsiTheme="minorHAnsi"/>
        </w:rPr>
        <w:t xml:space="preserve">Osiguranje tehnološkog preduvjeta budućeg razvoja kroz manje oslanjanje na vlastiti razvoj i uspostavu nove platforme za igre te s time povezanih tehnoloških rješenja </w:t>
      </w:r>
    </w:p>
    <w:p w:rsidR="00044B28" w:rsidRPr="00371D14" w:rsidRDefault="00371D14" w:rsidP="009C7C8C">
      <w:pPr>
        <w:pStyle w:val="ListParagraph"/>
        <w:numPr>
          <w:ilvl w:val="0"/>
          <w:numId w:val="12"/>
        </w:numPr>
        <w:spacing w:after="0" w:line="240" w:lineRule="auto"/>
        <w:jc w:val="both"/>
        <w:rPr>
          <w:rFonts w:eastAsia="Calibri"/>
        </w:rPr>
      </w:pPr>
      <w:r w:rsidRPr="00371D14">
        <w:rPr>
          <w:rFonts w:eastAsia="Calibri"/>
        </w:rPr>
        <w:t xml:space="preserve">Modernizacija portfelja igara, </w:t>
      </w:r>
      <w:r w:rsidR="00044B28" w:rsidRPr="00371D14">
        <w:rPr>
          <w:rFonts w:eastAsia="Calibri"/>
        </w:rPr>
        <w:t xml:space="preserve">redizajn </w:t>
      </w:r>
      <w:r w:rsidRPr="00371D14">
        <w:rPr>
          <w:rFonts w:eastAsia="Calibri"/>
        </w:rPr>
        <w:t>istih, ukidanje neprofitabilnih</w:t>
      </w:r>
    </w:p>
    <w:p w:rsidR="00044B28" w:rsidRPr="007A598F" w:rsidRDefault="00044B28" w:rsidP="009C7C8C">
      <w:pPr>
        <w:pStyle w:val="ListParagraph"/>
        <w:numPr>
          <w:ilvl w:val="0"/>
          <w:numId w:val="12"/>
        </w:numPr>
        <w:spacing w:after="0" w:line="240" w:lineRule="auto"/>
        <w:jc w:val="both"/>
        <w:rPr>
          <w:rFonts w:eastAsia="Calibri"/>
        </w:rPr>
      </w:pPr>
      <w:r w:rsidRPr="007A598F">
        <w:rPr>
          <w:rFonts w:eastAsia="Calibri"/>
        </w:rPr>
        <w:t>P</w:t>
      </w:r>
      <w:r w:rsidR="00E5548C">
        <w:rPr>
          <w:rFonts w:eastAsia="Calibri"/>
        </w:rPr>
        <w:t>ovećanje p</w:t>
      </w:r>
      <w:r w:rsidRPr="007A598F">
        <w:rPr>
          <w:rFonts w:eastAsia="Calibri"/>
        </w:rPr>
        <w:t>rodaj</w:t>
      </w:r>
      <w:r w:rsidR="00E5548C">
        <w:rPr>
          <w:rFonts w:eastAsia="Calibri"/>
        </w:rPr>
        <w:t>e</w:t>
      </w:r>
      <w:r w:rsidRPr="007A598F">
        <w:rPr>
          <w:rFonts w:eastAsia="Calibri"/>
        </w:rPr>
        <w:t xml:space="preserve"> </w:t>
      </w:r>
      <w:r w:rsidR="00E5548C">
        <w:rPr>
          <w:rFonts w:eastAsia="Calibri"/>
        </w:rPr>
        <w:t>i tržišnog udjela kroz unaprjeđenje procesa prodaje i prodajne mreže</w:t>
      </w:r>
      <w:r w:rsidR="00371D14">
        <w:rPr>
          <w:rFonts w:eastAsia="Calibri"/>
        </w:rPr>
        <w:t xml:space="preserve">, širenje partnerske mreže, uspostavu novih </w:t>
      </w:r>
      <w:r w:rsidRPr="007A598F">
        <w:rPr>
          <w:rFonts w:eastAsia="Calibri"/>
        </w:rPr>
        <w:t>automat klubova</w:t>
      </w:r>
      <w:r w:rsidR="00371D14">
        <w:rPr>
          <w:rFonts w:eastAsia="Calibri"/>
        </w:rPr>
        <w:t xml:space="preserve"> </w:t>
      </w:r>
    </w:p>
    <w:p w:rsidR="00044B28" w:rsidRPr="007A598F" w:rsidRDefault="00044B28" w:rsidP="009C7C8C">
      <w:pPr>
        <w:pStyle w:val="ListParagraph"/>
        <w:numPr>
          <w:ilvl w:val="0"/>
          <w:numId w:val="12"/>
        </w:numPr>
        <w:spacing w:after="0" w:line="240" w:lineRule="auto"/>
        <w:jc w:val="both"/>
        <w:rPr>
          <w:rFonts w:eastAsia="Calibri"/>
        </w:rPr>
      </w:pPr>
      <w:r w:rsidRPr="007A598F">
        <w:rPr>
          <w:rFonts w:eastAsia="Calibri"/>
        </w:rPr>
        <w:t>Unapr</w:t>
      </w:r>
      <w:r w:rsidR="005C7840">
        <w:rPr>
          <w:rFonts w:eastAsia="Calibri"/>
        </w:rPr>
        <w:t>j</w:t>
      </w:r>
      <w:r w:rsidRPr="007A598F">
        <w:rPr>
          <w:rFonts w:eastAsia="Calibri"/>
        </w:rPr>
        <w:t>eđenje upravljanje ljudskim potencijalima</w:t>
      </w:r>
      <w:r w:rsidR="00E5548C">
        <w:rPr>
          <w:rFonts w:eastAsia="Calibri"/>
        </w:rPr>
        <w:t xml:space="preserve"> i organizacije</w:t>
      </w:r>
    </w:p>
    <w:p w:rsidR="004B199B" w:rsidRDefault="004B199B" w:rsidP="006C73F1">
      <w:pPr>
        <w:spacing w:after="0" w:line="240" w:lineRule="auto"/>
        <w:jc w:val="both"/>
        <w:rPr>
          <w:rFonts w:asciiTheme="minorHAnsi" w:hAnsiTheme="minorHAnsi" w:cstheme="minorHAnsi"/>
        </w:rPr>
      </w:pPr>
    </w:p>
    <w:p w:rsidR="00044B28" w:rsidRDefault="005F1549" w:rsidP="006C73F1">
      <w:pPr>
        <w:spacing w:after="0" w:line="240" w:lineRule="auto"/>
        <w:jc w:val="both"/>
        <w:rPr>
          <w:rFonts w:asciiTheme="minorHAnsi" w:hAnsiTheme="minorHAnsi" w:cstheme="minorHAnsi"/>
        </w:rPr>
      </w:pPr>
      <w:r>
        <w:rPr>
          <w:rFonts w:asciiTheme="minorHAnsi" w:hAnsiTheme="minorHAnsi" w:cstheme="minorHAnsi"/>
        </w:rPr>
        <w:t>Prijedlog Trog</w:t>
      </w:r>
      <w:r w:rsidR="00044B28">
        <w:rPr>
          <w:rFonts w:asciiTheme="minorHAnsi" w:hAnsiTheme="minorHAnsi" w:cstheme="minorHAnsi"/>
        </w:rPr>
        <w:t xml:space="preserve">odišnjeg plana poslovanja Hrvatske Lutrije d.o.o. za </w:t>
      </w:r>
      <w:r>
        <w:rPr>
          <w:rFonts w:asciiTheme="minorHAnsi" w:hAnsiTheme="minorHAnsi" w:cstheme="minorHAnsi"/>
        </w:rPr>
        <w:t xml:space="preserve">razdoblje od </w:t>
      </w:r>
      <w:r w:rsidR="00044B28">
        <w:rPr>
          <w:rFonts w:asciiTheme="minorHAnsi" w:hAnsiTheme="minorHAnsi" w:cstheme="minorHAnsi"/>
        </w:rPr>
        <w:t>2019.</w:t>
      </w:r>
      <w:r>
        <w:rPr>
          <w:rFonts w:asciiTheme="minorHAnsi" w:hAnsiTheme="minorHAnsi" w:cstheme="minorHAnsi"/>
        </w:rPr>
        <w:t xml:space="preserve"> do 2021.</w:t>
      </w:r>
      <w:r w:rsidR="00044B28">
        <w:rPr>
          <w:rFonts w:asciiTheme="minorHAnsi" w:hAnsiTheme="minorHAnsi" w:cstheme="minorHAnsi"/>
        </w:rPr>
        <w:t>godin</w:t>
      </w:r>
      <w:r>
        <w:rPr>
          <w:rFonts w:asciiTheme="minorHAnsi" w:hAnsiTheme="minorHAnsi" w:cstheme="minorHAnsi"/>
        </w:rPr>
        <w:t>e</w:t>
      </w:r>
      <w:r w:rsidR="00044B28">
        <w:rPr>
          <w:rFonts w:asciiTheme="minorHAnsi" w:hAnsiTheme="minorHAnsi" w:cstheme="minorHAnsi"/>
        </w:rPr>
        <w:t xml:space="preserve"> izrađen je u skladu s člankom 9. Zakona o igrama na sreću.</w:t>
      </w:r>
    </w:p>
    <w:p w:rsidR="00044B28" w:rsidRDefault="00044B28" w:rsidP="006C73F1">
      <w:pPr>
        <w:spacing w:after="0" w:line="240" w:lineRule="auto"/>
        <w:jc w:val="both"/>
        <w:rPr>
          <w:rFonts w:asciiTheme="minorHAnsi" w:hAnsiTheme="minorHAnsi" w:cstheme="minorHAnsi"/>
        </w:rPr>
      </w:pPr>
    </w:p>
    <w:p w:rsidR="00044B28" w:rsidRDefault="00044B28" w:rsidP="006C73F1">
      <w:pPr>
        <w:spacing w:after="0" w:line="240" w:lineRule="auto"/>
        <w:jc w:val="both"/>
        <w:rPr>
          <w:rFonts w:asciiTheme="minorHAnsi" w:hAnsiTheme="minorHAnsi" w:cstheme="minorHAnsi"/>
        </w:rPr>
      </w:pPr>
      <w:r>
        <w:rPr>
          <w:rFonts w:asciiTheme="minorHAnsi" w:hAnsiTheme="minorHAnsi" w:cstheme="minorHAnsi"/>
        </w:rPr>
        <w:t>Temeljem dosadašnjih pokazatelja može se očekivati da će Hrvatska Lutrija d.o.o. u narednom razdoblju poslovati u uvjetima blagog oporavka gospodarstva praćenim povećanom kupovnom moći stanovništva, što se odražava i na promet odnosno prihod od igara na sreću.</w:t>
      </w:r>
    </w:p>
    <w:p w:rsidR="00044B28" w:rsidRDefault="00044B28" w:rsidP="006C73F1">
      <w:pPr>
        <w:spacing w:after="0" w:line="240" w:lineRule="auto"/>
        <w:jc w:val="both"/>
        <w:rPr>
          <w:rFonts w:asciiTheme="minorHAnsi" w:hAnsiTheme="minorHAnsi" w:cstheme="minorHAnsi"/>
        </w:rPr>
      </w:pPr>
    </w:p>
    <w:p w:rsidR="00DE7565" w:rsidRDefault="00DE7565" w:rsidP="009C7C8C">
      <w:pPr>
        <w:pStyle w:val="Heading1"/>
        <w:numPr>
          <w:ilvl w:val="0"/>
          <w:numId w:val="16"/>
        </w:numPr>
        <w:jc w:val="both"/>
        <w:rPr>
          <w:rFonts w:ascii="Calibri" w:hAnsi="Calibri" w:cs="Calibri"/>
          <w:sz w:val="28"/>
          <w:szCs w:val="28"/>
        </w:rPr>
      </w:pPr>
      <w:bookmarkStart w:id="3" w:name="_Toc533660849"/>
      <w:r>
        <w:rPr>
          <w:rFonts w:ascii="Calibri" w:hAnsi="Calibri" w:cs="Calibri"/>
          <w:sz w:val="28"/>
          <w:szCs w:val="28"/>
        </w:rPr>
        <w:t>ANALIZA OKRUŽENJA</w:t>
      </w:r>
      <w:bookmarkEnd w:id="3"/>
    </w:p>
    <w:p w:rsidR="00DE7565" w:rsidRDefault="00DE7565" w:rsidP="00DE7565"/>
    <w:p w:rsidR="00DE7565" w:rsidRPr="00EE5A7B" w:rsidRDefault="00DE7565" w:rsidP="00DE7565">
      <w:pPr>
        <w:jc w:val="both"/>
      </w:pPr>
      <w:r w:rsidRPr="00EE5A7B">
        <w:lastRenderedPageBreak/>
        <w:t>Tržište igara na sreću je zabilježilo blagi rast i oporavak u razdoblju od 2015.-2017., zajedno s ekonomskim oporavkom te stabilizacijom nakon negativnih efekata promjena regulative vezane uz klađenje, iz 2015. godine.</w:t>
      </w:r>
    </w:p>
    <w:p w:rsidR="00DE7565" w:rsidRPr="00EE5A7B" w:rsidRDefault="00DE7565" w:rsidP="00DE7565">
      <w:pPr>
        <w:jc w:val="both"/>
      </w:pPr>
      <w:r w:rsidRPr="00EE5A7B">
        <w:t>Ova promjena je utjecala na sve sudionike tržišta, međutim manji utjecaj je imala na glavne konkure</w:t>
      </w:r>
      <w:r w:rsidR="00275C38">
        <w:t>nte na tržištu kao što su Supers</w:t>
      </w:r>
      <w:r w:rsidRPr="00EE5A7B">
        <w:t>port i PSK, koji drže oko dvije trećine ukupnog tržišta.</w:t>
      </w:r>
    </w:p>
    <w:p w:rsidR="00DE7565" w:rsidRPr="00EE5A7B" w:rsidRDefault="00DE7565" w:rsidP="00DE7565">
      <w:pPr>
        <w:jc w:val="both"/>
      </w:pPr>
      <w:r w:rsidRPr="00EE5A7B">
        <w:t>Nadalje, negativni trendovi su stavili dodatan pritisak na manje kladionice, koje očekuju značajne gubitke. Pored licenciranih sudionika tržišta postoje brojne nelicencirane strane online kompanije koje nude svoje usluge u Hrvatskoj te odvlače dio igrača radi poreza na dobitke uvedenoga u 2014. godini. Moguća pretpostavka je da je dio pada tržišta u 2015. godini djelomično uzrokovan radi preb</w:t>
      </w:r>
      <w:r w:rsidR="00971979">
        <w:t>acivanja dijela igrača na sivo</w:t>
      </w:r>
      <w:r w:rsidRPr="00EE5A7B">
        <w:t xml:space="preserve"> tržište igara na sreću.</w:t>
      </w:r>
    </w:p>
    <w:p w:rsidR="00DE7565" w:rsidRPr="00EE5A7B" w:rsidRDefault="00DE7565" w:rsidP="00DE7565">
      <w:pPr>
        <w:jc w:val="both"/>
      </w:pPr>
      <w:r w:rsidRPr="00EE5A7B">
        <w:t>U segmentu klađenja, automat klubova i casina, ključni igrači i konkurenti na tržištu su privatna poduzeća koja imaju mogućnost brze i pravovremene reakcije na tržišne trendove i promjene (također, isti nisu obveznici javne nabave). U takvim okolnostima, H</w:t>
      </w:r>
      <w:r w:rsidR="00275C38">
        <w:t xml:space="preserve">rvatska </w:t>
      </w:r>
      <w:r w:rsidRPr="00EE5A7B">
        <w:t>L</w:t>
      </w:r>
      <w:r w:rsidR="00275C38">
        <w:t>utrija</w:t>
      </w:r>
      <w:r w:rsidRPr="00EE5A7B">
        <w:t xml:space="preserve"> gubi tržišni udjel (otprilike 1 postotni bod godišnje).</w:t>
      </w:r>
    </w:p>
    <w:p w:rsidR="00DE7565" w:rsidRPr="00EE5A7B" w:rsidRDefault="00275C38" w:rsidP="00DE7565">
      <w:pPr>
        <w:jc w:val="both"/>
      </w:pPr>
      <w:r>
        <w:t>U lutrijskom segmentu, Hrvatska Lutrija</w:t>
      </w:r>
      <w:r w:rsidR="00DE7565" w:rsidRPr="00EE5A7B">
        <w:t xml:space="preserve"> zadržava monopol na hrvatskom tržištu.</w:t>
      </w:r>
    </w:p>
    <w:p w:rsidR="00DE7565" w:rsidRPr="00EE5A7B" w:rsidRDefault="00DE7565" w:rsidP="00DE7565">
      <w:pPr>
        <w:jc w:val="both"/>
      </w:pPr>
      <w:r w:rsidRPr="00EE5A7B">
        <w:t>Potencijal tržišta je u porastu digitalizacije, još uvijek relativno nižem postotku pristupa internetu u RH te u preuzimanju dijela cca 2 m</w:t>
      </w:r>
      <w:r w:rsidR="00971979">
        <w:t xml:space="preserve">ilijarde kn </w:t>
      </w:r>
      <w:r w:rsidR="00275C38">
        <w:t>sivog tržišta u</w:t>
      </w:r>
      <w:r w:rsidRPr="00EE5A7B">
        <w:t xml:space="preserve"> portfelj igrača</w:t>
      </w:r>
      <w:r w:rsidR="00275C38">
        <w:t xml:space="preserve"> Hrvatske Lutrije</w:t>
      </w:r>
      <w:r w:rsidRPr="00EE5A7B">
        <w:t>.</w:t>
      </w:r>
    </w:p>
    <w:p w:rsidR="00DE7565" w:rsidRPr="00EE5A7B" w:rsidRDefault="00275C38" w:rsidP="00DE7565">
      <w:pPr>
        <w:jc w:val="both"/>
      </w:pPr>
      <w:r>
        <w:t>Cilj Hrvatske L</w:t>
      </w:r>
      <w:r w:rsidR="00DE7565" w:rsidRPr="00EE5A7B">
        <w:t>utrije je vratiti ukupni tržišni udio u prometu igara na sreću u RH na razinu od 17-18%.</w:t>
      </w:r>
    </w:p>
    <w:p w:rsidR="00DE7565" w:rsidRDefault="00DE7565" w:rsidP="00DE7565">
      <w:pPr>
        <w:jc w:val="both"/>
      </w:pPr>
      <w:r w:rsidRPr="00EE5A7B">
        <w:t>Hrvatska lutrija u cilju povećanja udjela na tržištu želi razmotriti i opciju akvizicije nekoga od manjih konkurenata (akvizicija igrača i know-how-a) prvenstveno u segmentu klađenja</w:t>
      </w:r>
      <w:r w:rsidR="00104D5F">
        <w:t xml:space="preserve"> i automat klubova</w:t>
      </w:r>
      <w:r w:rsidRPr="00EE5A7B">
        <w:t>.</w:t>
      </w:r>
    </w:p>
    <w:p w:rsidR="00FC69DB" w:rsidRDefault="00FC69DB" w:rsidP="00DE7565">
      <w:pPr>
        <w:jc w:val="both"/>
      </w:pPr>
    </w:p>
    <w:p w:rsidR="00FC69DB" w:rsidRPr="00971979" w:rsidRDefault="00FC69DB" w:rsidP="00FC69DB">
      <w:pPr>
        <w:pStyle w:val="Heading1"/>
        <w:numPr>
          <w:ilvl w:val="1"/>
          <w:numId w:val="16"/>
        </w:numPr>
        <w:jc w:val="both"/>
        <w:rPr>
          <w:rFonts w:ascii="Calibri" w:hAnsi="Calibri" w:cs="Calibri"/>
          <w:sz w:val="28"/>
          <w:szCs w:val="28"/>
        </w:rPr>
      </w:pPr>
      <w:bookmarkStart w:id="4" w:name="_Toc533660850"/>
      <w:r w:rsidRPr="003030BD">
        <w:rPr>
          <w:rFonts w:ascii="Calibri" w:hAnsi="Calibri" w:cs="Calibri"/>
          <w:sz w:val="28"/>
          <w:szCs w:val="28"/>
        </w:rPr>
        <w:t xml:space="preserve">Suzbijanje </w:t>
      </w:r>
      <w:r>
        <w:rPr>
          <w:rFonts w:ascii="Calibri" w:hAnsi="Calibri" w:cs="Calibri"/>
          <w:sz w:val="28"/>
          <w:szCs w:val="28"/>
        </w:rPr>
        <w:t>ilegalnog klađenja i efekti na D</w:t>
      </w:r>
      <w:r w:rsidRPr="003030BD">
        <w:rPr>
          <w:rFonts w:ascii="Calibri" w:hAnsi="Calibri" w:cs="Calibri"/>
          <w:sz w:val="28"/>
          <w:szCs w:val="28"/>
        </w:rPr>
        <w:t>ržavni proračun</w:t>
      </w:r>
      <w:bookmarkEnd w:id="4"/>
    </w:p>
    <w:p w:rsidR="00FC69DB" w:rsidRDefault="00FC69DB" w:rsidP="00FC69DB">
      <w:pPr>
        <w:jc w:val="both"/>
        <w:rPr>
          <w:rFonts w:cs="Calibri"/>
        </w:rPr>
      </w:pPr>
    </w:p>
    <w:p w:rsidR="00FC69DB" w:rsidRDefault="00FC69DB" w:rsidP="00FC69DB">
      <w:pPr>
        <w:jc w:val="both"/>
        <w:rPr>
          <w:rFonts w:cs="Calibri"/>
        </w:rPr>
      </w:pPr>
      <w:r>
        <w:rPr>
          <w:rFonts w:cs="Calibri"/>
        </w:rPr>
        <w:t>O</w:t>
      </w:r>
      <w:r w:rsidRPr="00275C38">
        <w:rPr>
          <w:rFonts w:cs="Calibri"/>
        </w:rPr>
        <w:t xml:space="preserve">sim legalnih priređivača i dalje su na tržištu prisutni nelegalni priređivači </w:t>
      </w:r>
      <w:r>
        <w:rPr>
          <w:rFonts w:cs="Calibri"/>
        </w:rPr>
        <w:t>igara na sreću</w:t>
      </w:r>
      <w:r w:rsidRPr="00275C38">
        <w:rPr>
          <w:rFonts w:cs="Calibri"/>
        </w:rPr>
        <w:t xml:space="preserve"> putem interneta. </w:t>
      </w:r>
    </w:p>
    <w:p w:rsidR="00FC69DB" w:rsidRDefault="00FC69DB" w:rsidP="00FC69DB">
      <w:pPr>
        <w:jc w:val="both"/>
        <w:rPr>
          <w:rFonts w:cs="Calibri"/>
        </w:rPr>
      </w:pPr>
      <w:r w:rsidRPr="003030BD">
        <w:rPr>
          <w:rFonts w:cs="Calibri"/>
        </w:rPr>
        <w:t>Prema procjenama The European Gaming and Betting Association (EGBA) udio sivog tržišta u RH iznosi 38% što je gotovo 2 milijarde kuna, koje odlaze nelicenciranim priređivačima igara na sreću samo u segmentu klađenja.</w:t>
      </w:r>
    </w:p>
    <w:p w:rsidR="00FC69DB" w:rsidRDefault="00FC69DB" w:rsidP="00FC69DB">
      <w:pPr>
        <w:jc w:val="both"/>
        <w:rPr>
          <w:rFonts w:cs="Calibri"/>
        </w:rPr>
      </w:pPr>
      <w:r w:rsidRPr="00971979">
        <w:rPr>
          <w:rFonts w:cs="Calibri"/>
        </w:rPr>
        <w:t>Činjenica na koju Hrvatska Lutrija ukazuje prema Ministarstvu financija kao regulatoru ovoga područj</w:t>
      </w:r>
      <w:r>
        <w:rPr>
          <w:rFonts w:cs="Calibri"/>
        </w:rPr>
        <w:t>a je da je to značajan gubitak D</w:t>
      </w:r>
      <w:r w:rsidRPr="00971979">
        <w:rPr>
          <w:rFonts w:cs="Calibri"/>
        </w:rPr>
        <w:t xml:space="preserve">ržavnog proračuna. Prema </w:t>
      </w:r>
      <w:r>
        <w:rPr>
          <w:rFonts w:cs="Calibri"/>
        </w:rPr>
        <w:t>istraživanjima koje je provela o</w:t>
      </w:r>
      <w:r w:rsidRPr="00971979">
        <w:rPr>
          <w:rFonts w:cs="Calibri"/>
        </w:rPr>
        <w:t xml:space="preserve">rganizacija „European Lotteries”, problemi ilegalnih priređivača rješavaju se na nekoliko načina: tehničko blokiranje stranica koje nisu licencirane kao </w:t>
      </w:r>
      <w:r>
        <w:rPr>
          <w:rFonts w:cs="Calibri"/>
        </w:rPr>
        <w:t>i</w:t>
      </w:r>
      <w:r w:rsidRPr="00971979">
        <w:rPr>
          <w:rFonts w:cs="Calibri"/>
        </w:rPr>
        <w:t xml:space="preserve"> financijsko blokiranje koj</w:t>
      </w:r>
      <w:r>
        <w:rPr>
          <w:rFonts w:cs="Calibri"/>
        </w:rPr>
        <w:t>e za preduvjet ima suradnju sa f</w:t>
      </w:r>
      <w:r w:rsidRPr="00971979">
        <w:rPr>
          <w:rFonts w:cs="Calibri"/>
        </w:rPr>
        <w:t xml:space="preserve">inancijskim institucijama u zemlji. Zatim tu je zabrana </w:t>
      </w:r>
      <w:r w:rsidRPr="00971979">
        <w:rPr>
          <w:rFonts w:cs="Calibri"/>
        </w:rPr>
        <w:lastRenderedPageBreak/>
        <w:t>oglašavanja koja je predviđena i u Hrvatskoj, no potrebna je striktna primjena istog za svako oglašavanje koje u sebi sadrži ključne riječi (hrvatske i engleske) vezane uz igr</w:t>
      </w:r>
      <w:r>
        <w:rPr>
          <w:rFonts w:cs="Calibri"/>
        </w:rPr>
        <w:t>e na sreću. Jedna od metoda je i</w:t>
      </w:r>
      <w:r w:rsidRPr="00971979">
        <w:rPr>
          <w:rFonts w:cs="Calibri"/>
        </w:rPr>
        <w:t xml:space="preserve"> u</w:t>
      </w:r>
      <w:r>
        <w:rPr>
          <w:rFonts w:cs="Calibri"/>
        </w:rPr>
        <w:t>vođenje značajni</w:t>
      </w:r>
      <w:r w:rsidR="00C21009">
        <w:rPr>
          <w:rFonts w:cs="Calibri"/>
        </w:rPr>
        <w:t>h</w:t>
      </w:r>
      <w:r>
        <w:rPr>
          <w:rFonts w:cs="Calibri"/>
        </w:rPr>
        <w:t xml:space="preserve"> novčanih kazni</w:t>
      </w:r>
      <w:r w:rsidRPr="00971979">
        <w:rPr>
          <w:rFonts w:cs="Calibri"/>
        </w:rPr>
        <w:t xml:space="preserve"> i kaz</w:t>
      </w:r>
      <w:r>
        <w:rPr>
          <w:rFonts w:cs="Calibri"/>
        </w:rPr>
        <w:t>ni zatvora za počinitelje, kao i</w:t>
      </w:r>
      <w:r w:rsidRPr="00971979">
        <w:rPr>
          <w:rFonts w:cs="Calibri"/>
        </w:rPr>
        <w:t xml:space="preserve"> uvođenje alternativnog modela igre klađenja. </w:t>
      </w:r>
      <w:r w:rsidR="00ED3E49">
        <w:rPr>
          <w:rFonts w:cs="Calibri"/>
        </w:rPr>
        <w:t>Promjena poreznog modela je također način koji Hrvatsk</w:t>
      </w:r>
      <w:r w:rsidR="00700FA5">
        <w:rPr>
          <w:rFonts w:cs="Calibri"/>
        </w:rPr>
        <w:t>a</w:t>
      </w:r>
      <w:r w:rsidR="00ED3E49">
        <w:rPr>
          <w:rFonts w:cs="Calibri"/>
        </w:rPr>
        <w:t xml:space="preserve"> Lutrij</w:t>
      </w:r>
      <w:r w:rsidR="00700FA5">
        <w:rPr>
          <w:rFonts w:cs="Calibri"/>
        </w:rPr>
        <w:t>a</w:t>
      </w:r>
      <w:r w:rsidR="00ED3E49">
        <w:rPr>
          <w:rFonts w:cs="Calibri"/>
        </w:rPr>
        <w:t xml:space="preserve"> vidi kao mogućnost </w:t>
      </w:r>
      <w:r w:rsidR="00700FA5">
        <w:rPr>
          <w:rFonts w:cs="Calibri"/>
        </w:rPr>
        <w:t>čime bi</w:t>
      </w:r>
      <w:r w:rsidR="00ED3E49">
        <w:rPr>
          <w:rFonts w:cs="Calibri"/>
        </w:rPr>
        <w:t xml:space="preserve"> se teret oporezivanja prebaci</w:t>
      </w:r>
      <w:r w:rsidR="00700FA5">
        <w:rPr>
          <w:rFonts w:cs="Calibri"/>
        </w:rPr>
        <w:t>o</w:t>
      </w:r>
      <w:r w:rsidR="00ED3E49">
        <w:rPr>
          <w:rFonts w:cs="Calibri"/>
        </w:rPr>
        <w:t xml:space="preserve"> sa igrača na priređivače.</w:t>
      </w:r>
    </w:p>
    <w:p w:rsidR="00FC69DB" w:rsidRDefault="00FC69DB" w:rsidP="00FC69DB">
      <w:pPr>
        <w:jc w:val="both"/>
        <w:rPr>
          <w:rFonts w:cs="Calibri"/>
        </w:rPr>
      </w:pPr>
      <w:r w:rsidRPr="00971979">
        <w:rPr>
          <w:rFonts w:cs="Calibri"/>
        </w:rPr>
        <w:t>Time bi se smanjila ili nestala razlika u konkurentnosti domaćih i internetskih kladionica, te ukoliko bi to promatrali iz perspektive igrača – dolazilo bi do smanjenja motiva za igranje na nelicenciranim internetskim stranicama. Igrači i njihove uplate time bi vraćali novac u domaće kladionice</w:t>
      </w:r>
      <w:r>
        <w:rPr>
          <w:rFonts w:cs="Calibri"/>
        </w:rPr>
        <w:t>,</w:t>
      </w:r>
      <w:r w:rsidRPr="00971979">
        <w:rPr>
          <w:rFonts w:cs="Calibri"/>
        </w:rPr>
        <w:t xml:space="preserve"> a sukladno tome i u </w:t>
      </w:r>
      <w:r>
        <w:rPr>
          <w:rFonts w:cs="Calibri"/>
        </w:rPr>
        <w:t>D</w:t>
      </w:r>
      <w:r w:rsidRPr="00971979">
        <w:rPr>
          <w:rFonts w:cs="Calibri"/>
        </w:rPr>
        <w:t xml:space="preserve">ržavni proračun. Neke zemlje razlikuju porezne stope na zemaljskim i online kanalima što omogućava usmjeravanje igrača na registrirani internetski kanal na kojem se bolje uočava i prevenira ovisnost. U RH ovakav se model već primjenjuje u segmentu Internet casina (priređivač se oporezuje sa 15% iznosa razlike uplata i isplata). </w:t>
      </w:r>
    </w:p>
    <w:p w:rsidR="00FC69DB" w:rsidRDefault="00FC69DB" w:rsidP="00FC69DB">
      <w:pPr>
        <w:jc w:val="both"/>
        <w:rPr>
          <w:rFonts w:cs="Calibri"/>
        </w:rPr>
      </w:pPr>
      <w:r w:rsidRPr="00971979">
        <w:rPr>
          <w:rFonts w:cs="Calibri"/>
        </w:rPr>
        <w:t xml:space="preserve">Hrvatska </w:t>
      </w:r>
      <w:r>
        <w:rPr>
          <w:rFonts w:cs="Calibri"/>
        </w:rPr>
        <w:t>L</w:t>
      </w:r>
      <w:r w:rsidRPr="00971979">
        <w:rPr>
          <w:rFonts w:cs="Calibri"/>
        </w:rPr>
        <w:t xml:space="preserve">utrija se zalaže za stvaranje uvjeta u zemlji za povratak igrača sa interneta u domaće kladionice, jer time ne bi postigli samo već navedene pozitivne učinke, već bi se time omogućila </w:t>
      </w:r>
      <w:r>
        <w:rPr>
          <w:rFonts w:cs="Calibri"/>
        </w:rPr>
        <w:t>i</w:t>
      </w:r>
      <w:r w:rsidRPr="00971979">
        <w:rPr>
          <w:rFonts w:cs="Calibri"/>
        </w:rPr>
        <w:t xml:space="preserve"> bolja kontrola ovisnosti igrača za koju trenutno nema mehanizama praćenja kod internetskih priređivača.</w:t>
      </w:r>
    </w:p>
    <w:p w:rsidR="00FC69DB" w:rsidRDefault="00FC69DB" w:rsidP="00DE7565">
      <w:pPr>
        <w:jc w:val="both"/>
      </w:pPr>
    </w:p>
    <w:p w:rsidR="0072571A" w:rsidRDefault="0072571A" w:rsidP="0072571A">
      <w:pPr>
        <w:pStyle w:val="Heading1"/>
        <w:numPr>
          <w:ilvl w:val="1"/>
          <w:numId w:val="16"/>
        </w:numPr>
        <w:jc w:val="both"/>
        <w:rPr>
          <w:rFonts w:ascii="Calibri" w:hAnsi="Calibri" w:cs="Calibri"/>
          <w:sz w:val="28"/>
          <w:szCs w:val="28"/>
        </w:rPr>
      </w:pPr>
      <w:bookmarkStart w:id="5" w:name="_Toc533660851"/>
      <w:r w:rsidRPr="00B40A09">
        <w:rPr>
          <w:rFonts w:ascii="Calibri" w:hAnsi="Calibri" w:cs="Calibri"/>
          <w:sz w:val="28"/>
          <w:szCs w:val="28"/>
        </w:rPr>
        <w:t>P</w:t>
      </w:r>
      <w:r>
        <w:rPr>
          <w:rFonts w:ascii="Calibri" w:hAnsi="Calibri" w:cs="Calibri"/>
          <w:sz w:val="28"/>
          <w:szCs w:val="28"/>
        </w:rPr>
        <w:t>romjene makroekonomskog okruženja</w:t>
      </w:r>
      <w:bookmarkEnd w:id="5"/>
    </w:p>
    <w:p w:rsidR="00FC69DB" w:rsidRPr="00FC69DB" w:rsidRDefault="00FC69DB" w:rsidP="00FC69DB"/>
    <w:p w:rsidR="0072571A" w:rsidRDefault="0072571A" w:rsidP="00F44C85">
      <w:pPr>
        <w:jc w:val="both"/>
      </w:pPr>
      <w:r>
        <w:t>Ekonomsko okruženje je poboljšano, ali demografski trendovi su negativni. Igrači postaju tehnološki zahtjevniji i fokusirani na korisnički doživljaj.</w:t>
      </w:r>
    </w:p>
    <w:p w:rsidR="0072571A" w:rsidRDefault="0072571A" w:rsidP="00F44C85">
      <w:pPr>
        <w:jc w:val="both"/>
      </w:pPr>
      <w:r>
        <w:t xml:space="preserve">U razdoblju 2015. –2017. godine, ostvaren je je ekonomski oporavak u RH (rast BDP), uz očekivanja daljnjeg gospodarskog rasta. Rast raspoloživog dohotka stanovništva pozitivno djeluje na potrošnju vezanu uz igre na sreću. </w:t>
      </w:r>
    </w:p>
    <w:p w:rsidR="0072571A" w:rsidRDefault="0072571A" w:rsidP="00F44C85">
      <w:pPr>
        <w:jc w:val="both"/>
      </w:pPr>
      <w:r>
        <w:t>Demografski trendovi koji uključuju starenje stanovništva, kao i iseljavanje mlađeg stanovništva negativno djeluje na različite segmente / proizvode igara na sreću. Posljedično, poduzeća na tržištu fokusirani su na različite aktivnosti i kanale akviziranja novih igrača, kao i zadržavanje postojećih.</w:t>
      </w:r>
    </w:p>
    <w:p w:rsidR="0072571A" w:rsidRDefault="0072571A" w:rsidP="00F44C85">
      <w:pPr>
        <w:jc w:val="both"/>
      </w:pPr>
      <w:r>
        <w:t xml:space="preserve">Potrošači sve više koriste pametne telefone i „tablete” za dobivanje informacija, a postaje im važniji i personalizirani korisnički doživljaj (posebno kod mlađe generacije igrača, tzv. „milenijalaca”). </w:t>
      </w:r>
    </w:p>
    <w:p w:rsidR="0072571A" w:rsidRDefault="0072571A" w:rsidP="00F44C85">
      <w:pPr>
        <w:jc w:val="both"/>
      </w:pPr>
      <w:r>
        <w:t>Uspješnost poslovanja lutrijskih organizacija i priređivača igara na sreću u važnoj je korelaciji sa kretanjima bruto društvenog proizvoda (BDP) i kretanjima u broju stanovnika. U sljedećem razdoblju očekuje se rast BDP-a između 2 i 3% godišnje.</w:t>
      </w:r>
    </w:p>
    <w:p w:rsidR="0072571A" w:rsidRDefault="0072571A" w:rsidP="00F44C85">
      <w:pPr>
        <w:jc w:val="both"/>
      </w:pPr>
      <w:r>
        <w:lastRenderedPageBreak/>
        <w:t>U sljedećem razdoblju očekuje se i daljnji pad nezaposlenosti kao pozitivni efekt pored negativnih efekata navedenih u rizicima (npr. iseljavanje i starenje stanovništva itd.)</w:t>
      </w:r>
    </w:p>
    <w:p w:rsidR="0072571A" w:rsidRDefault="0072571A" w:rsidP="00F44C85">
      <w:pPr>
        <w:jc w:val="both"/>
      </w:pPr>
      <w:r>
        <w:t>Segment online i digitalizacija igara imaju značajan potencijal. Pristup internetu i korištenje pametnih uređaja u promatranom periodu konstantno rastu, ali su isti ipak značajno manji od razvijenih tržišta EU.</w:t>
      </w:r>
    </w:p>
    <w:p w:rsidR="00104D5F" w:rsidRPr="00DB2DE7" w:rsidRDefault="00104D5F" w:rsidP="00F44C85">
      <w:pPr>
        <w:jc w:val="both"/>
      </w:pPr>
      <w:r w:rsidRPr="00DB2DE7">
        <w:t xml:space="preserve">Kroz naše dugogodišnje poslovanje možemo zaključiti da predrasude koje su povezane sa </w:t>
      </w:r>
      <w:r w:rsidR="00DB2DE7" w:rsidRPr="00DB2DE7">
        <w:t xml:space="preserve">nižim </w:t>
      </w:r>
      <w:r w:rsidRPr="00DB2DE7">
        <w:t>stupnjem platežne moći igrača</w:t>
      </w:r>
      <w:r w:rsidR="009B600A" w:rsidRPr="00DB2DE7">
        <w:t xml:space="preserve"> i poveznice sa boljim rezultatima </w:t>
      </w:r>
      <w:r w:rsidR="00700FA5">
        <w:t xml:space="preserve">na području igranja igara na sreću </w:t>
      </w:r>
      <w:r w:rsidR="009B600A" w:rsidRPr="00DB2DE7">
        <w:t xml:space="preserve">ne stoje – </w:t>
      </w:r>
      <w:r w:rsidR="00700FA5">
        <w:t xml:space="preserve">praksa dokazuje da </w:t>
      </w:r>
      <w:r w:rsidR="00DB2DE7" w:rsidRPr="00DB2DE7">
        <w:t xml:space="preserve">se postižu </w:t>
      </w:r>
      <w:r w:rsidR="009B600A" w:rsidRPr="00DB2DE7">
        <w:t>bolji rezultati</w:t>
      </w:r>
      <w:r w:rsidR="00DB2DE7" w:rsidRPr="00DB2DE7">
        <w:t xml:space="preserve"> (više igrača</w:t>
      </w:r>
      <w:r w:rsidR="00700FA5">
        <w:t xml:space="preserve"> igra</w:t>
      </w:r>
      <w:r w:rsidR="00DB2DE7" w:rsidRPr="00DB2DE7">
        <w:t xml:space="preserve">) </w:t>
      </w:r>
      <w:r w:rsidR="00700FA5">
        <w:t>što je</w:t>
      </w:r>
      <w:r w:rsidR="00DB2DE7" w:rsidRPr="00DB2DE7">
        <w:t xml:space="preserve"> bolja platežna moć igrača.</w:t>
      </w:r>
      <w:r w:rsidR="009B600A" w:rsidRPr="00DB2DE7">
        <w:t xml:space="preserve"> </w:t>
      </w:r>
    </w:p>
    <w:p w:rsidR="001F2568" w:rsidRDefault="001F2568" w:rsidP="00761F1F"/>
    <w:p w:rsidR="00DE7565" w:rsidRDefault="00DE7565" w:rsidP="009C7C8C">
      <w:pPr>
        <w:pStyle w:val="Heading1"/>
        <w:numPr>
          <w:ilvl w:val="1"/>
          <w:numId w:val="16"/>
        </w:numPr>
        <w:jc w:val="both"/>
        <w:rPr>
          <w:rFonts w:ascii="Calibri" w:hAnsi="Calibri" w:cs="Calibri"/>
          <w:sz w:val="28"/>
          <w:szCs w:val="28"/>
        </w:rPr>
      </w:pPr>
      <w:bookmarkStart w:id="6" w:name="_Toc533660852"/>
      <w:r w:rsidRPr="00B40A09">
        <w:rPr>
          <w:rFonts w:ascii="Calibri" w:hAnsi="Calibri" w:cs="Calibri"/>
          <w:sz w:val="28"/>
          <w:szCs w:val="28"/>
        </w:rPr>
        <w:t>Pregled hrvatskog tržišta klađenja</w:t>
      </w:r>
      <w:bookmarkEnd w:id="6"/>
      <w:r w:rsidR="00FC69DB">
        <w:rPr>
          <w:rFonts w:ascii="Calibri" w:hAnsi="Calibri" w:cs="Calibri"/>
          <w:sz w:val="28"/>
          <w:szCs w:val="28"/>
        </w:rPr>
        <w:t xml:space="preserve"> </w:t>
      </w:r>
    </w:p>
    <w:p w:rsidR="001F2568" w:rsidRPr="001F2568" w:rsidRDefault="001F2568" w:rsidP="001F2568"/>
    <w:p w:rsidR="00DE7565" w:rsidRPr="00CF02AD" w:rsidRDefault="00DE7565" w:rsidP="00DE7565">
      <w:pPr>
        <w:jc w:val="both"/>
        <w:rPr>
          <w:rFonts w:cs="Calibri"/>
        </w:rPr>
      </w:pPr>
      <w:r w:rsidRPr="00CF02AD">
        <w:rPr>
          <w:rFonts w:cs="Calibri"/>
        </w:rPr>
        <w:t xml:space="preserve">Tržište klađenja se u 2015. godini po prvi puta nakon 2009. godine smanjilo. Rezultat je to uvođenja nove zakonske regulative koja se tiče oporezivanja dobitaka na igrama na sreću. </w:t>
      </w:r>
    </w:p>
    <w:p w:rsidR="00DE7565" w:rsidRPr="00CF02AD" w:rsidRDefault="00DE7565" w:rsidP="00DE7565">
      <w:pPr>
        <w:jc w:val="both"/>
        <w:rPr>
          <w:rFonts w:cs="Calibri"/>
        </w:rPr>
      </w:pPr>
      <w:r w:rsidRPr="00CF02AD">
        <w:rPr>
          <w:rFonts w:cs="Calibri"/>
        </w:rPr>
        <w:t xml:space="preserve">Uslijed uvođenja novih poreza i zaoštravanja konkurencije došlo je do </w:t>
      </w:r>
      <w:r w:rsidR="00F41E0F">
        <w:rPr>
          <w:rFonts w:cs="Calibri"/>
        </w:rPr>
        <w:t xml:space="preserve">konsolidacije, odnosno </w:t>
      </w:r>
      <w:r w:rsidRPr="00CF02AD">
        <w:rPr>
          <w:rFonts w:cs="Calibri"/>
        </w:rPr>
        <w:t xml:space="preserve">smanjenja broja sudionika na tržištu. Pojedini su napustili tržište (Pelikan kladionice u 2015. godini) dok su se neki spojili (PSK i Hattrick) kako bi bolje konkurirali Supersportu koji je lider tržišta. </w:t>
      </w:r>
      <w:r w:rsidR="00F41E0F" w:rsidRPr="00F41E0F">
        <w:rPr>
          <w:rFonts w:cs="Calibri"/>
        </w:rPr>
        <w:t>U 2016. godini Interigre, novi sudionik tržišta je preuzeo Bolus d.o.o. (Stanleybet kladionice), dok je Germania sport preuzela Tempo – star d.o.o.</w:t>
      </w:r>
    </w:p>
    <w:p w:rsidR="00DE7565" w:rsidRPr="00CF02AD" w:rsidRDefault="00092122" w:rsidP="00DE7565">
      <w:pPr>
        <w:jc w:val="both"/>
        <w:rPr>
          <w:rFonts w:cs="Calibri"/>
        </w:rPr>
      </w:pPr>
      <w:r w:rsidRPr="00DB2DE7">
        <w:rPr>
          <w:rFonts w:cs="Calibri"/>
        </w:rPr>
        <w:t xml:space="preserve">Promet klađenja je definiran kao sve uplate u tom segmentu, dok definicija prihoda od klađenja sadržava umanjenje prometa za </w:t>
      </w:r>
      <w:r w:rsidR="009B600A" w:rsidRPr="00DB2DE7">
        <w:rPr>
          <w:rFonts w:cs="Calibri"/>
        </w:rPr>
        <w:t>ostvarene dobitke</w:t>
      </w:r>
      <w:r w:rsidRPr="00DB2DE7">
        <w:rPr>
          <w:rFonts w:cs="Calibri"/>
        </w:rPr>
        <w:t xml:space="preserve"> i koncesijske naknade.</w:t>
      </w:r>
      <w:r>
        <w:rPr>
          <w:rFonts w:cs="Calibri"/>
        </w:rPr>
        <w:t xml:space="preserve"> </w:t>
      </w:r>
      <w:r w:rsidR="00DE7565" w:rsidRPr="00CF02AD">
        <w:rPr>
          <w:rFonts w:cs="Calibri"/>
        </w:rPr>
        <w:t>U 2016. godini ukupan promet segmenta klađenja je porastao za 6,8%, no ukupni prihodi kladionica su istovremeno ostali na razini 2015. godine.</w:t>
      </w:r>
      <w:r w:rsidRPr="00092122">
        <w:rPr>
          <w:rFonts w:cs="Calibri"/>
          <w:color w:val="FF0000"/>
        </w:rPr>
        <w:t xml:space="preserve"> </w:t>
      </w:r>
      <w:r w:rsidR="003D5FBE" w:rsidRPr="003D5FBE">
        <w:rPr>
          <w:rFonts w:cs="Calibri"/>
        </w:rPr>
        <w:t>Najznačajnija razlika je vidljiva kod tržišnog lidera, Supersporta. U 2016. godini je ostvareno povećanje prometa od 7,8%, dok je istovremeno ostvareni prihod smanjen za 4,5%.</w:t>
      </w:r>
      <w:r>
        <w:rPr>
          <w:rFonts w:cs="Calibri"/>
        </w:rPr>
        <w:t xml:space="preserve"> </w:t>
      </w:r>
      <w:r w:rsidRPr="00DB2DE7">
        <w:rPr>
          <w:rFonts w:cs="Calibri"/>
        </w:rPr>
        <w:t>Udio live klađenja se povećava, dok je prihod manji nego kod prematch klađenja.</w:t>
      </w:r>
    </w:p>
    <w:p w:rsidR="00971979" w:rsidRDefault="00DE7565" w:rsidP="00971979">
      <w:pPr>
        <w:jc w:val="both"/>
        <w:rPr>
          <w:rFonts w:cs="Calibri"/>
        </w:rPr>
      </w:pPr>
      <w:r w:rsidRPr="00CF02AD">
        <w:rPr>
          <w:rFonts w:cs="Calibri"/>
        </w:rPr>
        <w:t xml:space="preserve">U strukturi hrvatskog tržišta igara na sreću (s uključenom lutrijom) - najveći udjel ima segment </w:t>
      </w:r>
      <w:r w:rsidRPr="00971979">
        <w:rPr>
          <w:rFonts w:cs="Calibri"/>
        </w:rPr>
        <w:t>klađenja.</w:t>
      </w:r>
      <w:r w:rsidR="00971979" w:rsidRPr="00971979">
        <w:rPr>
          <w:rFonts w:cs="Calibri"/>
        </w:rPr>
        <w:t xml:space="preserve"> U navedenom segmentu Hrvatska Lutrija značajno zaostaje za konkurencijom uslijed sporije prilagodbe, </w:t>
      </w:r>
      <w:r w:rsidR="00092122">
        <w:rPr>
          <w:rFonts w:cs="Calibri"/>
        </w:rPr>
        <w:t xml:space="preserve">te </w:t>
      </w:r>
      <w:r w:rsidR="00971979" w:rsidRPr="00971979">
        <w:rPr>
          <w:rFonts w:cs="Calibri"/>
        </w:rPr>
        <w:t>procesa javne nabave</w:t>
      </w:r>
      <w:r w:rsidR="00092122">
        <w:rPr>
          <w:rFonts w:cs="Calibri"/>
        </w:rPr>
        <w:t>.</w:t>
      </w:r>
    </w:p>
    <w:p w:rsidR="003B7225" w:rsidRDefault="003B7225" w:rsidP="003B7225">
      <w:r>
        <w:t>Prema podacima Ministarstva financija za kolovoz 2018.godine u Republici Hrvatskoj igre klađenja priređuje ukupno 6 priređivača u 1.301 kladionica, na 3.295 samoposlužnih terminala</w:t>
      </w:r>
      <w:r w:rsidR="00700FA5">
        <w:t xml:space="preserve"> (kladomata)</w:t>
      </w:r>
      <w:r>
        <w:t xml:space="preserve"> te 5 priređivača priređuje igre klađenja putem interaktivnih prodajnih kanala online igranja.</w:t>
      </w:r>
    </w:p>
    <w:p w:rsidR="003B7225" w:rsidRDefault="003B7225" w:rsidP="003B7225">
      <w:r>
        <w:t>Ukupan udio Hrvatske Lutrije u broju uplatnih mjesta i kladomata je 14,5%.</w:t>
      </w:r>
    </w:p>
    <w:p w:rsidR="003B7225" w:rsidRDefault="003B7225" w:rsidP="003B7225">
      <w:r w:rsidRPr="001D66C3">
        <w:rPr>
          <w:noProof/>
        </w:rPr>
        <w:lastRenderedPageBreak/>
        <w:drawing>
          <wp:inline distT="0" distB="0" distL="0" distR="0" wp14:anchorId="4C99CA72" wp14:editId="42F8603D">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B7225" w:rsidRDefault="003B7225" w:rsidP="003B7225">
      <w:r w:rsidRPr="001346E2">
        <w:rPr>
          <w:rFonts w:asciiTheme="minorHAnsi" w:hAnsiTheme="minorHAnsi" w:cstheme="minorHAnsi"/>
          <w:noProof/>
        </w:rPr>
        <w:drawing>
          <wp:inline distT="0" distB="0" distL="0" distR="0" wp14:anchorId="03FD2F79" wp14:editId="2312E67D">
            <wp:extent cx="5657850" cy="2743200"/>
            <wp:effectExtent l="0" t="0" r="0" b="0"/>
            <wp:docPr id="16"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00FA5" w:rsidRDefault="00700FA5" w:rsidP="003B7225">
      <w:pPr>
        <w:jc w:val="both"/>
      </w:pPr>
    </w:p>
    <w:p w:rsidR="000E0980" w:rsidRDefault="003B7225" w:rsidP="003B7225">
      <w:pPr>
        <w:jc w:val="both"/>
      </w:pPr>
      <w:r>
        <w:t>Povijesno, Hrvatska Lutrija od početaka priređivanja igara klađenja gotovo uvijek je imala niži postotni prihod od prihoda cijelog tržišta. Promatrajući gornji graf, vidljivo je da je najveća razlika u postotnom prihodu bila do 2011. godine. Najznačajniji utjecaj na smanjenje razlike nakon 2010. godine bilo je uvođenje loto klađenja, igre koja donosi znatno veći postotni prihod od sportskog klađenja. U 2014. godini Hrvatska Lutrija se izjednačila s tržištem. U tom periodu klađenje uživo već je postalo značajan proizvod na tržištu, a Hrvatska Lutrija ga nije priređivala (zbog serije neuspješnih javnih nabava). Kako igra klađenja uživo donosi manji postotni prihod (u to vrijeme vjerojatno i zamjetno manji nego danas – live modeli se i dalje dorađuju, uz veći udio single uplata nego danas), tako je naš veliki nedostatak jednim dijelom utjecao na relativno bolji postotni prihod. Nakon uvođenja klađenja uživo u ponudu Hrvatske Lutrije, 2015. godine, linije na grafu ponovno se odvajaju.</w:t>
      </w:r>
    </w:p>
    <w:p w:rsidR="00700FA5" w:rsidRDefault="00700FA5" w:rsidP="003B7225">
      <w:pPr>
        <w:jc w:val="both"/>
      </w:pPr>
    </w:p>
    <w:p w:rsidR="003B7225" w:rsidRDefault="003B7225" w:rsidP="003B7225">
      <w:pPr>
        <w:jc w:val="both"/>
      </w:pPr>
      <w:r>
        <w:lastRenderedPageBreak/>
        <w:t xml:space="preserve">Postoji više razloga koji mogu utjecati da Hrvatska Lutrija kontinuirano bilježi niži postotni prihod: </w:t>
      </w:r>
    </w:p>
    <w:p w:rsidR="00700FA5" w:rsidRDefault="003B7225" w:rsidP="00700FA5">
      <w:pPr>
        <w:jc w:val="both"/>
      </w:pPr>
      <w:r w:rsidRPr="003B7225">
        <w:rPr>
          <w:b/>
        </w:rPr>
        <w:t>Struktura igrača</w:t>
      </w:r>
      <w:r>
        <w:t xml:space="preserve"> – postotni prihod pojedinih kladionica (i u Hrvatskoj i globalno) najviše ovisi o stilu igre igrača kladionice. Primjerice, azijske kladionice bilježe vrlo nizak postotni prihod (oko 1%) jer je stil igre uglavnom singl uplata. </w:t>
      </w:r>
    </w:p>
    <w:p w:rsidR="00700FA5" w:rsidRDefault="00700FA5" w:rsidP="00700FA5">
      <w:pPr>
        <w:jc w:val="both"/>
      </w:pPr>
      <w:r w:rsidRPr="00700FA5">
        <w:t>Singl uplata</w:t>
      </w:r>
      <w:r w:rsidRPr="00DB2DE7">
        <w:t xml:space="preserve"> – uplata samo jednog događaja na listiću. Sa stajališta priređivača klađenja, takve uplate su nepovoljnije u smislu očekivane zarade (ostatka). Svaki kladionički događaj s koeficijentima ima u sebi sadržanu matematički određenu maržu, a marže se s brojem događaja množe – što je više događaja na listiću priređivač dugoročno može očekivati veći postotni ostatak.</w:t>
      </w:r>
    </w:p>
    <w:p w:rsidR="003B7225" w:rsidRDefault="003B7225" w:rsidP="003B7225">
      <w:pPr>
        <w:jc w:val="both"/>
      </w:pPr>
      <w:r>
        <w:t xml:space="preserve">I u Hrvatskoj razlike u strukturi igrača među kladionicama su značajne – pritom veliki igrači više-manje igraju u svim kladionicama, a mali, najpoželjniji igrači nažalost u većoj mjeri uplaćuju kod konkurentskih kladionica nego u Hrvatskoj Lutriji.  Veliki igrači najčešće igraju na manji broj parova što nosi niži postotni prihod. </w:t>
      </w:r>
      <w:r w:rsidR="00092122">
        <w:t xml:space="preserve">Također uočeni su i različiti profili igrača koji dolaze na naša prodajna mjesta kao i njihove navike (navike igrača koji igraju pretežno lutrijske igre u potpunosti se razlikuju od igrača u kladionicama). </w:t>
      </w:r>
      <w:r>
        <w:t xml:space="preserve">Glavni razlozi lošije strukture igrača Hrvatske Lutrije su poznati: lošija web stranica (radi se na redizajnu) te </w:t>
      </w:r>
      <w:r w:rsidR="00092122">
        <w:t>m</w:t>
      </w:r>
      <w:r>
        <w:t xml:space="preserve">obilna aplikacija koja </w:t>
      </w:r>
      <w:r w:rsidR="00700FA5">
        <w:t xml:space="preserve">se ne razvija </w:t>
      </w:r>
      <w:r w:rsidR="00092122">
        <w:t>u skladu sa trendovima</w:t>
      </w:r>
      <w:r>
        <w:t>. U zadnje vrijeme Hrvatska Lutrija je učinila značajan iskorak u privlačenju novih malih igrača (bonusiranje, cross-sell akcije), međutim, tek kontinuiranim priređivanjem takvih akcija, uz rješavanje nedostataka na interaktivnim kanalima prodaje, moguće je dugoročno poboljšati strukturu igrača.</w:t>
      </w:r>
    </w:p>
    <w:p w:rsidR="003B7225" w:rsidRDefault="003B7225" w:rsidP="003B7225">
      <w:pPr>
        <w:jc w:val="both"/>
      </w:pPr>
      <w:r w:rsidRPr="003B7225">
        <w:rPr>
          <w:b/>
        </w:rPr>
        <w:t>Koeficijenti</w:t>
      </w:r>
      <w:r>
        <w:t xml:space="preserve"> – Hrvatska Lutrija je od svojih početaka pa do danas svoju konkurentnost ponajviše tražila u koeficijentima jer smo zaostajali u drugim područjima konkurentnosti. Tako i danas Hrvatska Lutrija u prosjeku ima više bonus parova i povoljnija pravila igranja HL+ događaja od konkurencije. Cijena te konkurentnosti je smanjivanje postotnog prihoda. Sličan primjer zabilježen je u Italiji, gdje Bet365 zbog pokušaja privlačenja igrača ima višestruko manji tržišni udio u prihodu u odnosu na onaj u prometu.</w:t>
      </w:r>
    </w:p>
    <w:p w:rsidR="003B7225" w:rsidRDefault="003B7225" w:rsidP="003B7225">
      <w:pPr>
        <w:jc w:val="both"/>
      </w:pPr>
      <w:r w:rsidRPr="003B7225">
        <w:rPr>
          <w:b/>
        </w:rPr>
        <w:t>Struktura prometa po igrama klađenja</w:t>
      </w:r>
      <w:r>
        <w:t xml:space="preserve"> – nemamo podatke o strukturi prometa po igrama za tržište RH</w:t>
      </w:r>
      <w:r w:rsidR="00092122">
        <w:t xml:space="preserve"> te nije rađena niti posebna studija i analiza o istom.</w:t>
      </w:r>
    </w:p>
    <w:p w:rsidR="003B7225" w:rsidRDefault="00700FA5" w:rsidP="003B7225">
      <w:pPr>
        <w:jc w:val="both"/>
      </w:pPr>
      <w:r>
        <w:t>Ipak možemo zaključiti da n</w:t>
      </w:r>
      <w:r w:rsidR="003B7225">
        <w:t xml:space="preserve">a promete, pa posljedično i prihode sportskog klađenja u  značajnoj mjeri utječe kvaliteta sportskih događaja. Sam broj sportskih događaja u ponudi manje je bitan, iako on kontinuirano raste jer domaće kladionice prate trend stranih kladionica i svake godine nude oklade na sve više natjecanja (na sve niže i niže lige). Međutim, u godinama kad se odigravaju najznačajnija sportska natjecanja (SP u nogometu, EP u nogometu, Olimpijske igre) promet je veći nego u godinama kad takvih natjecanja nema. </w:t>
      </w:r>
    </w:p>
    <w:p w:rsidR="003B7225" w:rsidRDefault="003B7225" w:rsidP="003B7225">
      <w:pPr>
        <w:jc w:val="both"/>
      </w:pPr>
      <w:r>
        <w:t xml:space="preserve">Iako je vrlo teško napraviti preciznu analizu, jer na promete u klađenju utječu razni čimbenici (raširenost prodajne mreže, raširenost mreže samoposlužnih terminala (kladomata), primanje uplata putem interneta, porezna politika), usporedbom prometa susjednih godina na razini cjelokupnog tržišta RH, ustanovljeno je da neparne godine imaju u prosjeku 2,7% </w:t>
      </w:r>
      <w:r>
        <w:lastRenderedPageBreak/>
        <w:t xml:space="preserve">manji promet sportskog klađenja u odnosu na parne godine. To je logično jer u parnim godinama se igraju velika nogometna reprezentativna natjecanja, a u neparnima ne. </w:t>
      </w:r>
    </w:p>
    <w:p w:rsidR="003B7225" w:rsidRDefault="003B7225" w:rsidP="003B7225">
      <w:pPr>
        <w:jc w:val="both"/>
      </w:pPr>
      <w:r>
        <w:t>Također, 2018. godina bila je veoma specifična i teško ponovljiva zbog iznimnog uspjeha hrvatske reprezentacije. Procjene su da je samo uspjeh reprezentacije podigao promet sportskog klađenja u cijeloj godini za 2,8%.</w:t>
      </w:r>
    </w:p>
    <w:p w:rsidR="003B7225" w:rsidRDefault="003B7225" w:rsidP="003B7225">
      <w:pPr>
        <w:jc w:val="both"/>
      </w:pPr>
      <w:r>
        <w:t>Svi ovi faktori uzeti su u obzir prilikom izrade planova. Zato je za sportsko klađenje (prematch) u 2020.godini predviđen rast od 6%, a u neparnoj 2021.godini za 0,1%. Za klađenje uživo, koje svake godine uzima dio prometa prematch sportskog klađenja predviđa se rast od 29% u 2020.godini, a zatim smanjenje rasta na 24% u 2021.godini.</w:t>
      </w:r>
    </w:p>
    <w:p w:rsidR="00DB2DE7" w:rsidRDefault="00DB2DE7" w:rsidP="00EE3FCF">
      <w:pPr>
        <w:jc w:val="both"/>
      </w:pPr>
      <w:r>
        <w:t>Ljetne olimpijske igre, kao veliki sportski događaj, zasigurno utječ</w:t>
      </w:r>
      <w:r w:rsidR="00700FA5">
        <w:t>u</w:t>
      </w:r>
      <w:r>
        <w:t xml:space="preserve"> na povećanje prometa sportskog klađenja, zbog povećanja broja i atraktivnosti sportskih događaja. Zimske olimpijske igre </w:t>
      </w:r>
      <w:r w:rsidR="00EE3FCF">
        <w:t xml:space="preserve">pak </w:t>
      </w:r>
      <w:r>
        <w:t xml:space="preserve">nemaju takav utjecaj. Teško je točno kvantificirati utjecaj Igara – to poprilično ovisi o uspjehu hrvatskih reprezentacija u momčadskim sportovima. Valja napomenuti da turniri u dva najpopularnija sporta za klađenje (nogomet i tenis) nisu posebno atraktivni kao natjecanja na Igrama. Preostaju rukomet i košarka, pri čemu jedino eventualna rukometna euforija može potaknuti nešto veći promet. </w:t>
      </w:r>
      <w:r w:rsidR="00EE3FCF">
        <w:t>Kao nekakav zaključak</w:t>
      </w:r>
      <w:r>
        <w:t>, promatrajući raspodjele prometa sportskog klađenja po mjesecima u zadnjem desetljeću, može se procijeniti da same ljetne OI pridonose rastu prometa od oko 1% u olimpijskim godinama. Valja međutim imati na umu da su OI u 2012. igrane u Londonu, a 2016. u Riu – povoljnim vremenskim zonama za igrače klađenja. OI 2020. odigravaju se u Tokyju i mnogi događaji odigravat će se u najnepovoljnije vrijeme, rano ujutro. Situacija je još nepovoljnija ako uzmemo u obzir činjenicu da će 2020. godine klađenje uživo imati znatno veći udio nego danas, a klađenje uživo još je osjetljivije na nepovoljnost vremenske zone. Stoga OI 2020. vjerojatno neće značajnije utjecati na povećanje prometa.</w:t>
      </w:r>
    </w:p>
    <w:p w:rsidR="00DB2DE7" w:rsidRDefault="00DB2DE7" w:rsidP="003B7225">
      <w:pPr>
        <w:jc w:val="both"/>
      </w:pPr>
    </w:p>
    <w:p w:rsidR="003B7225" w:rsidRPr="003B7225" w:rsidRDefault="003B7225" w:rsidP="003B7225">
      <w:pPr>
        <w:jc w:val="both"/>
      </w:pPr>
      <w:r w:rsidRPr="001346E2">
        <w:rPr>
          <w:rFonts w:asciiTheme="minorHAnsi" w:hAnsiTheme="minorHAnsi" w:cstheme="minorHAnsi"/>
          <w:noProof/>
        </w:rPr>
        <w:drawing>
          <wp:inline distT="0" distB="0" distL="0" distR="0" wp14:anchorId="6965B760" wp14:editId="7E38D741">
            <wp:extent cx="5657850" cy="2743200"/>
            <wp:effectExtent l="0" t="0" r="0" b="0"/>
            <wp:docPr id="17"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B7225" w:rsidRPr="003B7225" w:rsidRDefault="003B7225" w:rsidP="00EE3FCF">
      <w:pPr>
        <w:rPr>
          <w:rFonts w:cs="Calibri"/>
        </w:rPr>
      </w:pPr>
      <w:r w:rsidRPr="003B7225">
        <w:rPr>
          <w:rFonts w:cs="Calibri"/>
        </w:rPr>
        <w:t>U najvećoj mjeri zahvaljujući prodajno-marketinškim akcijama, Hrvatska Lutrija</w:t>
      </w:r>
      <w:r>
        <w:rPr>
          <w:rFonts w:cs="Calibri"/>
        </w:rPr>
        <w:t xml:space="preserve"> bilježi rast tržišnog udjela. </w:t>
      </w:r>
    </w:p>
    <w:p w:rsidR="003B7225" w:rsidRDefault="003B7225" w:rsidP="00EE3FCF">
      <w:pPr>
        <w:rPr>
          <w:rFonts w:cs="Calibri"/>
        </w:rPr>
      </w:pPr>
      <w:r w:rsidRPr="003B7225">
        <w:rPr>
          <w:rFonts w:cs="Calibri"/>
        </w:rPr>
        <w:lastRenderedPageBreak/>
        <w:t>Nastavak rasta udjela u narednom periodu bit će moguć isključivo u slučaju povećanja kvalitete proizvoda, na čemu se intenzivno radi.</w:t>
      </w:r>
    </w:p>
    <w:p w:rsidR="002B66AB" w:rsidRPr="002B66AB" w:rsidRDefault="002B66AB" w:rsidP="00EE3FCF">
      <w:pPr>
        <w:rPr>
          <w:rFonts w:cs="Calibri"/>
        </w:rPr>
      </w:pPr>
      <w:r w:rsidRPr="002B66AB">
        <w:rPr>
          <w:rFonts w:cs="Calibri"/>
        </w:rPr>
        <w:t xml:space="preserve">Udjeli pojedinih igara i kanala bit će bitno različiti 2021. godine u odnosu na današnje udjele. Stoga fokus razvoja treba biti na rastućim igrama i kanalima, naravno, ne zanemarujući pritom igre i kanale koji imaju padajući trend – važno je jedinstveno iskustvo igrača kroz sve kanale prodaje. </w:t>
      </w:r>
    </w:p>
    <w:p w:rsidR="002B66AB" w:rsidRPr="002B66AB" w:rsidRDefault="002B66AB" w:rsidP="00EE3FCF">
      <w:pPr>
        <w:rPr>
          <w:rFonts w:cs="Calibri"/>
        </w:rPr>
      </w:pPr>
      <w:r w:rsidRPr="002B66AB">
        <w:rPr>
          <w:rFonts w:cs="Calibri"/>
        </w:rPr>
        <w:t xml:space="preserve">Trendovi pokazuju interes igrača prema bržim, frekventnijim igrama te dodatnim zabavnim sadržajima, uslugama i dostupnijim kanalima. </w:t>
      </w:r>
    </w:p>
    <w:p w:rsidR="002B66AB" w:rsidRDefault="002B66AB" w:rsidP="00EE3FCF">
      <w:pPr>
        <w:rPr>
          <w:rFonts w:cs="Calibri"/>
        </w:rPr>
      </w:pPr>
      <w:r w:rsidRPr="002B66AB">
        <w:rPr>
          <w:rFonts w:cs="Calibri"/>
        </w:rPr>
        <w:t>Tehnologija je ključni preduvjet dostizanja cilja, kroz implementaciju i uvođenje nove platforme</w:t>
      </w:r>
      <w:r>
        <w:rPr>
          <w:rFonts w:cs="Calibri"/>
        </w:rPr>
        <w:t xml:space="preserve"> za igre. Ta će </w:t>
      </w:r>
      <w:r w:rsidRPr="002B66AB">
        <w:rPr>
          <w:rFonts w:cs="Calibri"/>
        </w:rPr>
        <w:t xml:space="preserve"> platforma imat</w:t>
      </w:r>
      <w:r>
        <w:rPr>
          <w:rFonts w:cs="Calibri"/>
        </w:rPr>
        <w:t>i</w:t>
      </w:r>
      <w:r w:rsidRPr="002B66AB">
        <w:rPr>
          <w:rFonts w:cs="Calibri"/>
        </w:rPr>
        <w:t xml:space="preserve"> značajan efekt na i ostale strateške inicijative. </w:t>
      </w:r>
    </w:p>
    <w:p w:rsidR="000E0980" w:rsidRDefault="000E0980" w:rsidP="00EE3FCF">
      <w:pPr>
        <w:rPr>
          <w:rFonts w:cs="Calibri"/>
        </w:rPr>
      </w:pPr>
    </w:p>
    <w:p w:rsidR="000E0980" w:rsidRDefault="000E0980" w:rsidP="00EE3FCF">
      <w:pPr>
        <w:rPr>
          <w:rFonts w:cs="Calibri"/>
        </w:rPr>
      </w:pPr>
    </w:p>
    <w:p w:rsidR="000E0980" w:rsidRPr="002B66AB" w:rsidRDefault="000E0980" w:rsidP="002B66AB">
      <w:pPr>
        <w:jc w:val="both"/>
        <w:rPr>
          <w:rFonts w:cs="Calibri"/>
        </w:rPr>
      </w:pPr>
    </w:p>
    <w:p w:rsidR="002B66AB" w:rsidRDefault="002B66AB" w:rsidP="002B66AB">
      <w:pPr>
        <w:jc w:val="both"/>
        <w:rPr>
          <w:rFonts w:cs="Calibri"/>
        </w:rPr>
      </w:pPr>
      <w:r w:rsidRPr="002B66AB">
        <w:rPr>
          <w:rFonts w:cs="Calibri"/>
        </w:rPr>
        <w:t>Grupe aktivnosti koje će se provoditi u svrhu postizanja strateških ciljeva</w:t>
      </w:r>
      <w:r>
        <w:rPr>
          <w:rFonts w:cs="Calibri"/>
        </w:rPr>
        <w:t xml:space="preserve"> uključuju:</w:t>
      </w:r>
    </w:p>
    <w:p w:rsidR="002B66AB" w:rsidRPr="002B66AB" w:rsidRDefault="002B66AB" w:rsidP="002B66AB">
      <w:pPr>
        <w:numPr>
          <w:ilvl w:val="0"/>
          <w:numId w:val="24"/>
        </w:numPr>
        <w:jc w:val="both"/>
        <w:rPr>
          <w:rFonts w:cs="Calibri"/>
        </w:rPr>
      </w:pPr>
      <w:r w:rsidRPr="002B66AB">
        <w:rPr>
          <w:rFonts w:cs="Calibri"/>
        </w:rPr>
        <w:t>Napredno live klađenje započeto krajem 2018. godine, čiji će se strateški učinak, u smislu povećanja tržišnog udjela,  vidjeti u razdoblju koje slijedi do 2021</w:t>
      </w:r>
      <w:r w:rsidR="00F44C85">
        <w:rPr>
          <w:rFonts w:cs="Calibri"/>
        </w:rPr>
        <w:t>.</w:t>
      </w:r>
      <w:r w:rsidRPr="002B66AB">
        <w:rPr>
          <w:rFonts w:cs="Calibri"/>
        </w:rPr>
        <w:t xml:space="preserve"> godine</w:t>
      </w:r>
    </w:p>
    <w:p w:rsidR="002B66AB" w:rsidRPr="002B66AB" w:rsidRDefault="002B66AB" w:rsidP="002B66AB">
      <w:pPr>
        <w:numPr>
          <w:ilvl w:val="1"/>
          <w:numId w:val="24"/>
        </w:numPr>
        <w:jc w:val="both"/>
        <w:rPr>
          <w:rFonts w:cs="Calibri"/>
        </w:rPr>
      </w:pPr>
      <w:r w:rsidRPr="002B66AB">
        <w:rPr>
          <w:rFonts w:cs="Calibri"/>
        </w:rPr>
        <w:t>Više izvora – omogućavanje prihvata feeda više različitih dobavljača</w:t>
      </w:r>
    </w:p>
    <w:p w:rsidR="002B66AB" w:rsidRPr="002B66AB" w:rsidRDefault="002B66AB" w:rsidP="002B66AB">
      <w:pPr>
        <w:numPr>
          <w:ilvl w:val="1"/>
          <w:numId w:val="24"/>
        </w:numPr>
        <w:jc w:val="both"/>
        <w:rPr>
          <w:rFonts w:cs="Calibri"/>
        </w:rPr>
      </w:pPr>
      <w:r w:rsidRPr="002B66AB">
        <w:rPr>
          <w:rFonts w:cs="Calibri"/>
        </w:rPr>
        <w:t xml:space="preserve">Live streaming i Live vizualizacija – izravni prijenos sportskog događaja na stranici priređivača danas je standard na domaćem tržištu klađenja. </w:t>
      </w:r>
    </w:p>
    <w:p w:rsidR="002B66AB" w:rsidRDefault="002B66AB" w:rsidP="002B66AB">
      <w:pPr>
        <w:numPr>
          <w:ilvl w:val="1"/>
          <w:numId w:val="24"/>
        </w:numPr>
        <w:jc w:val="both"/>
        <w:rPr>
          <w:rFonts w:cs="Calibri"/>
        </w:rPr>
      </w:pPr>
      <w:r w:rsidRPr="002B66AB">
        <w:rPr>
          <w:rFonts w:cs="Calibri"/>
        </w:rPr>
        <w:t xml:space="preserve">Redizajn internetskih stranica igre klađenja – trenutni ograničavajući faktor za daljnji razvoj i rast live klađenja su zastarjela rješenja na desktop webu i mobilnom webu. </w:t>
      </w:r>
    </w:p>
    <w:p w:rsidR="002B66AB" w:rsidRDefault="002B66AB" w:rsidP="002B66AB">
      <w:pPr>
        <w:pStyle w:val="ListParagraph"/>
        <w:numPr>
          <w:ilvl w:val="0"/>
          <w:numId w:val="24"/>
        </w:numPr>
        <w:jc w:val="both"/>
      </w:pPr>
      <w:r>
        <w:t xml:space="preserve">Prodajno-marketinške aktivnosti vezane za strateško partnerstvo (Intralot – nova platforma), temeljene na strateškoj inicijativi uvođenja novih tehnologija upravljanja portfeljem proizvoda i igračima. </w:t>
      </w:r>
      <w:r w:rsidRPr="00146945">
        <w:t>Prodajno - marketinška podrška uključuje razradu i provedbu seta aktivnosti sa svrhom osnaženja percepcije o pravoj vrijednosti, važnosti, snazi i kvalitete Kladionice HL</w:t>
      </w:r>
      <w:r>
        <w:t>,</w:t>
      </w:r>
      <w:r w:rsidRPr="00146945">
        <w:t xml:space="preserve"> a u cilju realizacije planiranih prometa i prihoda.</w:t>
      </w:r>
      <w:r>
        <w:t xml:space="preserve"> Također u 2019 godini </w:t>
      </w:r>
      <w:r w:rsidRPr="00146945">
        <w:t>obilježava se 15 godina Kladionice HL.</w:t>
      </w:r>
    </w:p>
    <w:p w:rsidR="002B66AB" w:rsidRDefault="002B66AB" w:rsidP="002B66AB">
      <w:pPr>
        <w:pStyle w:val="ListParagraph"/>
        <w:jc w:val="both"/>
      </w:pPr>
    </w:p>
    <w:p w:rsidR="002B66AB" w:rsidRPr="002B66AB" w:rsidRDefault="002B66AB" w:rsidP="002B66AB">
      <w:pPr>
        <w:pStyle w:val="ListParagraph"/>
        <w:numPr>
          <w:ilvl w:val="0"/>
          <w:numId w:val="24"/>
        </w:numPr>
        <w:jc w:val="both"/>
      </w:pPr>
      <w:r w:rsidRPr="002B66AB">
        <w:t>Napredne nove usluge koje ubrzavaju igru i privlače nove generacije</w:t>
      </w:r>
      <w:r>
        <w:t>, primjerice: cashout, betbuilder,</w:t>
      </w:r>
      <w:r w:rsidRPr="002B66AB">
        <w:rPr>
          <w:rFonts w:asciiTheme="minorHAnsi" w:eastAsiaTheme="minorHAnsi" w:hAnsiTheme="minorHAnsi" w:cstheme="minorBidi"/>
          <w:lang w:eastAsia="en-US"/>
        </w:rPr>
        <w:t xml:space="preserve"> </w:t>
      </w:r>
      <w:r>
        <w:t>r</w:t>
      </w:r>
      <w:r w:rsidRPr="002B66AB">
        <w:t>edizajn prikaza ponude klađenja na prodajnim mjestima</w:t>
      </w:r>
      <w:r>
        <w:t xml:space="preserve"> i brzi resulting</w:t>
      </w:r>
    </w:p>
    <w:p w:rsidR="002B66AB" w:rsidRDefault="002B66AB" w:rsidP="002B66AB">
      <w:pPr>
        <w:pStyle w:val="ListParagraph"/>
        <w:numPr>
          <w:ilvl w:val="0"/>
          <w:numId w:val="24"/>
        </w:numPr>
        <w:jc w:val="both"/>
      </w:pPr>
      <w:r w:rsidRPr="002B66AB">
        <w:t>Upravljanje igračima – s fokusom na akviziciji novih igrača, novoj igračkoj platformi te naprednim alatima za upravljanje odnosom s igračima (CRM) te poslovnu inteligenciju (BI)</w:t>
      </w:r>
    </w:p>
    <w:p w:rsidR="002B66AB" w:rsidRDefault="002B66AB" w:rsidP="002B66AB">
      <w:pPr>
        <w:pStyle w:val="ListParagraph"/>
        <w:jc w:val="both"/>
      </w:pPr>
    </w:p>
    <w:p w:rsidR="002B66AB" w:rsidRDefault="002B66AB" w:rsidP="002B66AB">
      <w:pPr>
        <w:pStyle w:val="ListParagraph"/>
        <w:numPr>
          <w:ilvl w:val="0"/>
          <w:numId w:val="24"/>
        </w:numPr>
        <w:jc w:val="both"/>
      </w:pPr>
      <w:r w:rsidRPr="00004686">
        <w:t>Napredne nove igre</w:t>
      </w:r>
      <w:r>
        <w:t xml:space="preserve">: klađenje </w:t>
      </w:r>
      <w:r w:rsidRPr="002B66AB">
        <w:t>na virtualne sportove</w:t>
      </w:r>
      <w:r>
        <w:t>, Fantasy manager, E-sports</w:t>
      </w:r>
    </w:p>
    <w:p w:rsidR="002B66AB" w:rsidRDefault="002B66AB" w:rsidP="002B66AB">
      <w:pPr>
        <w:pStyle w:val="ListParagraph"/>
        <w:ind w:left="0"/>
        <w:jc w:val="both"/>
      </w:pPr>
    </w:p>
    <w:p w:rsidR="002B66AB" w:rsidRDefault="002B66AB" w:rsidP="00761F1F">
      <w:pPr>
        <w:pStyle w:val="ListParagraph"/>
        <w:ind w:left="0"/>
        <w:jc w:val="both"/>
      </w:pPr>
      <w:r>
        <w:t xml:space="preserve">Navedene grupe aktivnosti trebale bi rezultirati rastom u segmentu klađenja sa </w:t>
      </w:r>
      <w:r w:rsidRPr="002B66AB">
        <w:t>sadašnjih 9</w:t>
      </w:r>
      <w:r w:rsidR="00B22205">
        <w:t>,9</w:t>
      </w:r>
      <w:r w:rsidRPr="002B66AB">
        <w:t>%</w:t>
      </w:r>
      <w:r w:rsidR="006D7596">
        <w:t xml:space="preserve"> (sukladno podacima za rujan 2018.godine)</w:t>
      </w:r>
      <w:r w:rsidRPr="002B66AB">
        <w:t xml:space="preserve"> na 13% u 2021. godini</w:t>
      </w:r>
      <w:r>
        <w:t>.</w:t>
      </w:r>
    </w:p>
    <w:p w:rsidR="00B22205" w:rsidRDefault="00B22205" w:rsidP="00761F1F">
      <w:pPr>
        <w:pStyle w:val="ListParagraph"/>
        <w:ind w:left="0"/>
        <w:jc w:val="both"/>
      </w:pPr>
    </w:p>
    <w:p w:rsidR="007C032D" w:rsidRDefault="00B22205" w:rsidP="00761F1F">
      <w:pPr>
        <w:pStyle w:val="ListParagraph"/>
        <w:ind w:left="0"/>
        <w:jc w:val="both"/>
      </w:pPr>
      <w:r>
        <w:rPr>
          <w:noProof/>
        </w:rPr>
        <w:drawing>
          <wp:inline distT="0" distB="0" distL="0" distR="0" wp14:anchorId="17BFF388" wp14:editId="39EE6613">
            <wp:extent cx="5937885" cy="2969260"/>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7885" cy="2969260"/>
                    </a:xfrm>
                    <a:prstGeom prst="rect">
                      <a:avLst/>
                    </a:prstGeom>
                    <a:noFill/>
                  </pic:spPr>
                </pic:pic>
              </a:graphicData>
            </a:graphic>
          </wp:inline>
        </w:drawing>
      </w:r>
    </w:p>
    <w:p w:rsidR="00B22205" w:rsidRDefault="00B22205" w:rsidP="00761F1F">
      <w:pPr>
        <w:pStyle w:val="ListParagraph"/>
        <w:ind w:left="0"/>
        <w:jc w:val="both"/>
      </w:pPr>
    </w:p>
    <w:p w:rsidR="006D7596" w:rsidRPr="00761F1F" w:rsidRDefault="006D7596" w:rsidP="00761F1F">
      <w:pPr>
        <w:pStyle w:val="ListParagraph"/>
        <w:ind w:left="0"/>
        <w:jc w:val="both"/>
      </w:pPr>
    </w:p>
    <w:p w:rsidR="00F41E0F" w:rsidRDefault="00F41E0F" w:rsidP="003B7225">
      <w:pPr>
        <w:pStyle w:val="Heading1"/>
        <w:numPr>
          <w:ilvl w:val="1"/>
          <w:numId w:val="16"/>
        </w:numPr>
        <w:jc w:val="both"/>
        <w:rPr>
          <w:rFonts w:ascii="Calibri" w:hAnsi="Calibri" w:cs="Calibri"/>
          <w:sz w:val="28"/>
          <w:szCs w:val="28"/>
        </w:rPr>
      </w:pPr>
      <w:bookmarkStart w:id="7" w:name="_Toc533660853"/>
      <w:r w:rsidRPr="00B40A09">
        <w:rPr>
          <w:rFonts w:ascii="Calibri" w:hAnsi="Calibri" w:cs="Calibri"/>
          <w:sz w:val="28"/>
          <w:szCs w:val="28"/>
        </w:rPr>
        <w:t xml:space="preserve">Pregled hrvatskog tržišta </w:t>
      </w:r>
      <w:r>
        <w:rPr>
          <w:rFonts w:ascii="Calibri" w:hAnsi="Calibri" w:cs="Calibri"/>
          <w:sz w:val="28"/>
          <w:szCs w:val="28"/>
        </w:rPr>
        <w:t>automat klubova</w:t>
      </w:r>
      <w:bookmarkEnd w:id="7"/>
    </w:p>
    <w:p w:rsidR="007C032D" w:rsidRPr="007C032D" w:rsidRDefault="007C032D" w:rsidP="007C032D"/>
    <w:p w:rsidR="00F41E0F" w:rsidRPr="00F41E0F" w:rsidRDefault="00F41E0F" w:rsidP="00F41E0F">
      <w:pPr>
        <w:jc w:val="both"/>
        <w:rPr>
          <w:rFonts w:cs="Calibri"/>
        </w:rPr>
      </w:pPr>
      <w:r w:rsidRPr="00F41E0F">
        <w:rPr>
          <w:rFonts w:cs="Calibri"/>
        </w:rPr>
        <w:t xml:space="preserve">Tržište automat klubova (mjereno prihodom) kontinuirano raste od 2012. godine. </w:t>
      </w:r>
    </w:p>
    <w:p w:rsidR="00F41E0F" w:rsidRPr="00F41E0F" w:rsidRDefault="00F41E0F" w:rsidP="00F41E0F">
      <w:pPr>
        <w:jc w:val="both"/>
        <w:rPr>
          <w:rFonts w:cs="Calibri"/>
        </w:rPr>
      </w:pPr>
      <w:r>
        <w:rPr>
          <w:rFonts w:cs="Calibri"/>
        </w:rPr>
        <w:t>U istom razdoblju, prihodi Hrvatske Lutrije</w:t>
      </w:r>
      <w:r w:rsidRPr="00F41E0F">
        <w:rPr>
          <w:rFonts w:cs="Calibri"/>
        </w:rPr>
        <w:t xml:space="preserve"> u segmentu automat klubova su u prosjeku</w:t>
      </w:r>
      <w:r w:rsidR="00F44C85">
        <w:rPr>
          <w:rFonts w:cs="Calibri"/>
        </w:rPr>
        <w:t xml:space="preserve"> na razini do 30 milijuna kn,</w:t>
      </w:r>
      <w:r w:rsidRPr="00F41E0F">
        <w:rPr>
          <w:rFonts w:cs="Calibri"/>
        </w:rPr>
        <w:t xml:space="preserve"> što je dovelo do pada udjela </w:t>
      </w:r>
      <w:r w:rsidR="003D374D">
        <w:rPr>
          <w:rFonts w:cs="Calibri"/>
        </w:rPr>
        <w:t>Hrvatske Lutrije</w:t>
      </w:r>
      <w:r w:rsidRPr="00F41E0F">
        <w:rPr>
          <w:rFonts w:cs="Calibri"/>
        </w:rPr>
        <w:t xml:space="preserve"> u tom segmentu tržišta.</w:t>
      </w:r>
    </w:p>
    <w:p w:rsidR="00F41E0F" w:rsidRPr="00F41E0F" w:rsidRDefault="00F41E0F" w:rsidP="00F41E0F">
      <w:pPr>
        <w:jc w:val="both"/>
        <w:rPr>
          <w:rFonts w:cs="Calibri"/>
        </w:rPr>
      </w:pPr>
      <w:r w:rsidRPr="00F41E0F">
        <w:rPr>
          <w:rFonts w:cs="Calibri"/>
        </w:rPr>
        <w:t>U odnosu na konkurenciju na relat</w:t>
      </w:r>
      <w:r w:rsidR="003D374D">
        <w:rPr>
          <w:rFonts w:cs="Calibri"/>
        </w:rPr>
        <w:t>ivno malom području Hrvatske, Hrvatska Lutrija</w:t>
      </w:r>
      <w:r w:rsidRPr="00F41E0F">
        <w:rPr>
          <w:rFonts w:cs="Calibri"/>
        </w:rPr>
        <w:t xml:space="preserve"> zauzima tek 8-9 mjesto po i</w:t>
      </w:r>
      <w:r w:rsidR="00F44C85">
        <w:rPr>
          <w:rFonts w:cs="Calibri"/>
        </w:rPr>
        <w:t xml:space="preserve">znosu prihoda automat klubova. </w:t>
      </w:r>
      <w:r w:rsidRPr="00F41E0F">
        <w:rPr>
          <w:rFonts w:cs="Calibri"/>
        </w:rPr>
        <w:t>U srednjem roku nije realno</w:t>
      </w:r>
      <w:r w:rsidR="003D374D">
        <w:rPr>
          <w:rFonts w:cs="Calibri"/>
        </w:rPr>
        <w:t xml:space="preserve"> da će Hrvatska Lutrija</w:t>
      </w:r>
      <w:r w:rsidRPr="00F41E0F">
        <w:rPr>
          <w:rFonts w:cs="Calibri"/>
        </w:rPr>
        <w:t xml:space="preserve"> ostvariti veći pr</w:t>
      </w:r>
      <w:r w:rsidR="003D374D">
        <w:rPr>
          <w:rFonts w:cs="Calibri"/>
        </w:rPr>
        <w:t>ihod</w:t>
      </w:r>
      <w:r w:rsidRPr="00F41E0F">
        <w:rPr>
          <w:rFonts w:cs="Calibri"/>
        </w:rPr>
        <w:t xml:space="preserve"> od prva 3 konkurenta, ali</w:t>
      </w:r>
      <w:r w:rsidR="003D374D">
        <w:rPr>
          <w:rFonts w:cs="Calibri"/>
        </w:rPr>
        <w:t xml:space="preserve"> ostali nisu značajno veći od Hrvatske Lutrije</w:t>
      </w:r>
      <w:r w:rsidRPr="00F41E0F">
        <w:rPr>
          <w:rFonts w:cs="Calibri"/>
        </w:rPr>
        <w:t>.</w:t>
      </w:r>
    </w:p>
    <w:p w:rsidR="0021529D" w:rsidRPr="0021529D" w:rsidRDefault="0021529D" w:rsidP="0021529D">
      <w:r w:rsidRPr="001D66C3">
        <w:rPr>
          <w:rFonts w:cs="Calibri"/>
        </w:rPr>
        <w:t>U Republici Hrvatskoj igre na sreću na automatima priređuje ukupno 39 pr</w:t>
      </w:r>
      <w:r>
        <w:rPr>
          <w:rFonts w:cs="Calibri"/>
        </w:rPr>
        <w:t>iređivača u 279 automat klubova.</w:t>
      </w:r>
    </w:p>
    <w:p w:rsidR="0021529D" w:rsidRDefault="0021529D" w:rsidP="00F41E0F">
      <w:pPr>
        <w:jc w:val="both"/>
        <w:rPr>
          <w:rFonts w:cs="Calibri"/>
        </w:rPr>
      </w:pPr>
      <w:r w:rsidRPr="001D66C3">
        <w:rPr>
          <w:rFonts w:cs="Calibri"/>
        </w:rPr>
        <w:t>Udio Hrvatske Lutrije u broju automata za igre na sreću u automat klubovima je 2%, u broju automata na prodajnim mjestima 7,3%</w:t>
      </w:r>
      <w:r w:rsidR="00761F1F">
        <w:rPr>
          <w:rFonts w:cs="Calibri"/>
        </w:rPr>
        <w:t>.</w:t>
      </w:r>
      <w:r w:rsidR="00761F1F" w:rsidRPr="00761F1F">
        <w:rPr>
          <w:rFonts w:cs="Calibri"/>
        </w:rPr>
        <w:t xml:space="preserve"> </w:t>
      </w:r>
      <w:r w:rsidR="00761F1F" w:rsidRPr="001D66C3">
        <w:rPr>
          <w:rFonts w:cs="Calibri"/>
        </w:rPr>
        <w:t>Ukupan udio u broju automata za igre na sreću je 3,41%</w:t>
      </w:r>
      <w:r w:rsidR="00761F1F">
        <w:rPr>
          <w:rFonts w:cs="Calibri"/>
        </w:rPr>
        <w:t>.</w:t>
      </w:r>
    </w:p>
    <w:p w:rsidR="00761F1F" w:rsidRDefault="00761F1F" w:rsidP="00761F1F">
      <w:pPr>
        <w:jc w:val="both"/>
      </w:pPr>
      <w:r w:rsidRPr="00F41E0F">
        <w:rPr>
          <w:rFonts w:cs="Calibri"/>
        </w:rPr>
        <w:t xml:space="preserve">U periodu </w:t>
      </w:r>
      <w:r>
        <w:rPr>
          <w:rFonts w:cs="Calibri"/>
        </w:rPr>
        <w:t xml:space="preserve">od 2018. do </w:t>
      </w:r>
      <w:r w:rsidRPr="00F41E0F">
        <w:rPr>
          <w:rFonts w:cs="Calibri"/>
        </w:rPr>
        <w:t>2021</w:t>
      </w:r>
      <w:r>
        <w:rPr>
          <w:rFonts w:cs="Calibri"/>
        </w:rPr>
        <w:t>.godine</w:t>
      </w:r>
      <w:r w:rsidRPr="00F41E0F">
        <w:rPr>
          <w:rFonts w:cs="Calibri"/>
        </w:rPr>
        <w:t xml:space="preserve"> cilj je vratiti dio tržišnog udjela, primarno kroz orga</w:t>
      </w:r>
      <w:r>
        <w:rPr>
          <w:rFonts w:cs="Calibri"/>
        </w:rPr>
        <w:t>nski rast jačanjem postojećih automat klubova</w:t>
      </w:r>
      <w:r w:rsidRPr="00F41E0F">
        <w:rPr>
          <w:rFonts w:cs="Calibri"/>
        </w:rPr>
        <w:t xml:space="preserve"> i ot</w:t>
      </w:r>
      <w:r>
        <w:rPr>
          <w:rFonts w:cs="Calibri"/>
        </w:rPr>
        <w:t>varanjem novih lokacija, u prosjeku dva</w:t>
      </w:r>
      <w:r w:rsidRPr="00F41E0F">
        <w:rPr>
          <w:rFonts w:cs="Calibri"/>
        </w:rPr>
        <w:t xml:space="preserve"> </w:t>
      </w:r>
      <w:r>
        <w:rPr>
          <w:rFonts w:cs="Calibri"/>
        </w:rPr>
        <w:t xml:space="preserve">automat kluba </w:t>
      </w:r>
      <w:r w:rsidRPr="00F41E0F">
        <w:rPr>
          <w:rFonts w:cs="Calibri"/>
        </w:rPr>
        <w:t>godišnj</w:t>
      </w:r>
      <w:r>
        <w:rPr>
          <w:rFonts w:cs="Calibri"/>
        </w:rPr>
        <w:t>e:</w:t>
      </w:r>
    </w:p>
    <w:p w:rsidR="00761F1F" w:rsidRDefault="00761F1F" w:rsidP="00761F1F">
      <w:pPr>
        <w:pStyle w:val="ListParagraph"/>
        <w:numPr>
          <w:ilvl w:val="0"/>
          <w:numId w:val="26"/>
        </w:numPr>
        <w:jc w:val="both"/>
      </w:pPr>
      <w:r>
        <w:t>u 2019. planirana su 4 nova AK i 40 novih lokacija kladionica s automatima</w:t>
      </w:r>
    </w:p>
    <w:p w:rsidR="00761F1F" w:rsidRDefault="00761F1F" w:rsidP="00761F1F">
      <w:pPr>
        <w:pStyle w:val="ListParagraph"/>
        <w:numPr>
          <w:ilvl w:val="0"/>
          <w:numId w:val="26"/>
        </w:numPr>
        <w:jc w:val="both"/>
      </w:pPr>
      <w:r>
        <w:lastRenderedPageBreak/>
        <w:t>u 2020. planirana su 3 nova AK i 10 novih lokacija kladionica s automatima</w:t>
      </w:r>
    </w:p>
    <w:p w:rsidR="00761F1F" w:rsidRDefault="00761F1F" w:rsidP="00761F1F">
      <w:pPr>
        <w:pStyle w:val="ListParagraph"/>
        <w:numPr>
          <w:ilvl w:val="0"/>
          <w:numId w:val="26"/>
        </w:numPr>
        <w:jc w:val="both"/>
      </w:pPr>
      <w:r>
        <w:t>u 2021. planiran je 1 novi AK i 10 novih lokacija kladionica s automatima</w:t>
      </w:r>
    </w:p>
    <w:p w:rsidR="00761F1F" w:rsidRDefault="00761F1F" w:rsidP="00761F1F">
      <w:pPr>
        <w:jc w:val="both"/>
      </w:pPr>
      <w:r>
        <w:t xml:space="preserve">Do kraja 2022.godine </w:t>
      </w:r>
      <w:r w:rsidR="00CD3AA4">
        <w:t>Hrvatska Lutrija planira imati</w:t>
      </w:r>
      <w:r>
        <w:t xml:space="preserve"> ukupno 17 automat klubova i ukupno 140 lokacija kladionica s automatima.</w:t>
      </w:r>
    </w:p>
    <w:p w:rsidR="00761F1F" w:rsidRPr="00761F1F" w:rsidRDefault="00761F1F" w:rsidP="00761F1F">
      <w:pPr>
        <w:jc w:val="both"/>
        <w:rPr>
          <w:rFonts w:cs="Calibri"/>
        </w:rPr>
      </w:pPr>
      <w:r w:rsidRPr="00761F1F">
        <w:rPr>
          <w:rFonts w:cs="Calibri"/>
        </w:rPr>
        <w:t xml:space="preserve">Otvorenja novih automat klubova i casina bit će snažno podržana kroz marketinške kampanje te organizaciju prigodnih evenata, dok će za promociju automata za igre na sreću u prodajnom mreži biti organizirane mini nagradne igre. Planira se nastavak povezivanja aktivnosti s Internet casinom. </w:t>
      </w:r>
    </w:p>
    <w:p w:rsidR="00761F1F" w:rsidRDefault="00761F1F" w:rsidP="00761F1F">
      <w:pPr>
        <w:jc w:val="both"/>
        <w:rPr>
          <w:rFonts w:cs="Calibri"/>
        </w:rPr>
      </w:pPr>
      <w:r w:rsidRPr="00761F1F">
        <w:rPr>
          <w:rFonts w:cs="Calibri"/>
        </w:rPr>
        <w:t>Ukoliko se ostvari dinamika otvaranja automat klubova prema Strategiji</w:t>
      </w:r>
      <w:r w:rsidR="00CD3AA4">
        <w:rPr>
          <w:rFonts w:cs="Calibri"/>
        </w:rPr>
        <w:t xml:space="preserve"> </w:t>
      </w:r>
      <w:r w:rsidR="00CD3AA4">
        <w:rPr>
          <w:rFonts w:asciiTheme="minorHAnsi" w:hAnsiTheme="minorHAnsi"/>
        </w:rPr>
        <w:t>razvoja Hrvatske lutrije</w:t>
      </w:r>
      <w:r w:rsidR="00CD3AA4" w:rsidRPr="007A598F">
        <w:rPr>
          <w:rFonts w:asciiTheme="minorHAnsi" w:hAnsiTheme="minorHAnsi"/>
        </w:rPr>
        <w:t xml:space="preserve"> </w:t>
      </w:r>
      <w:r w:rsidR="00CD3AA4">
        <w:rPr>
          <w:rFonts w:asciiTheme="minorHAnsi" w:hAnsiTheme="minorHAnsi"/>
        </w:rPr>
        <w:t>za razdoblje 2018.-2022.godine</w:t>
      </w:r>
      <w:r>
        <w:rPr>
          <w:rFonts w:cs="Calibri"/>
        </w:rPr>
        <w:t>, udio Hrvatske Lutrije</w:t>
      </w:r>
      <w:r w:rsidRPr="00761F1F">
        <w:rPr>
          <w:rFonts w:cs="Calibri"/>
        </w:rPr>
        <w:t xml:space="preserve"> po broju automata u automat klubovima i prihodu automat klubova povećao bi se za oko 2% uz uvjet da i tržište zadrži sadašnju dinamiku rasta</w:t>
      </w:r>
      <w:r>
        <w:rPr>
          <w:rFonts w:cs="Calibri"/>
        </w:rPr>
        <w:t>.</w:t>
      </w:r>
    </w:p>
    <w:p w:rsidR="00761F1F" w:rsidRDefault="00761F1F" w:rsidP="00F41E0F">
      <w:pPr>
        <w:jc w:val="both"/>
        <w:rPr>
          <w:rFonts w:cs="Calibri"/>
        </w:rPr>
      </w:pPr>
    </w:p>
    <w:p w:rsidR="001F2568" w:rsidRPr="00F41E0F" w:rsidRDefault="001F2568" w:rsidP="00F41E0F">
      <w:pPr>
        <w:jc w:val="both"/>
        <w:rPr>
          <w:rFonts w:cs="Calibri"/>
        </w:rPr>
      </w:pPr>
    </w:p>
    <w:p w:rsidR="009C7C8C" w:rsidRDefault="009C7C8C" w:rsidP="003B7225">
      <w:pPr>
        <w:pStyle w:val="Heading1"/>
        <w:numPr>
          <w:ilvl w:val="1"/>
          <w:numId w:val="16"/>
        </w:numPr>
        <w:jc w:val="both"/>
        <w:rPr>
          <w:rFonts w:ascii="Calibri" w:hAnsi="Calibri" w:cs="Calibri"/>
          <w:sz w:val="28"/>
          <w:szCs w:val="28"/>
        </w:rPr>
      </w:pPr>
      <w:bookmarkStart w:id="8" w:name="_Toc533660854"/>
      <w:r w:rsidRPr="00B40A09">
        <w:rPr>
          <w:rFonts w:ascii="Calibri" w:hAnsi="Calibri" w:cs="Calibri"/>
          <w:sz w:val="28"/>
          <w:szCs w:val="28"/>
        </w:rPr>
        <w:t xml:space="preserve">Pregled hrvatskog tržišta </w:t>
      </w:r>
      <w:r>
        <w:rPr>
          <w:rFonts w:ascii="Calibri" w:hAnsi="Calibri" w:cs="Calibri"/>
          <w:sz w:val="28"/>
          <w:szCs w:val="28"/>
        </w:rPr>
        <w:t>casina</w:t>
      </w:r>
      <w:bookmarkEnd w:id="8"/>
    </w:p>
    <w:p w:rsidR="007C032D" w:rsidRPr="007C032D" w:rsidRDefault="007C032D" w:rsidP="007C032D"/>
    <w:p w:rsidR="009C7C8C" w:rsidRDefault="009C7C8C" w:rsidP="009C7C8C">
      <w:pPr>
        <w:jc w:val="both"/>
      </w:pPr>
      <w:r>
        <w:t xml:space="preserve">Hrvatska Lutrija je bila prva i jedina na tržištu koja je u svoju ponudu uključila iCasino (2015. godine), sve do početka 2017.godine kada su dva konkurenta uključila internet casino u svoju ponudu. No, iako su na tržište u 2017. godini ušli konkurenti, Hrvatska Lutrija i tržište i dalje bilježe rast prihoda. </w:t>
      </w:r>
    </w:p>
    <w:p w:rsidR="009C7C8C" w:rsidRDefault="009C7C8C" w:rsidP="009C7C8C">
      <w:pPr>
        <w:jc w:val="both"/>
      </w:pPr>
      <w:r>
        <w:t>Navedeno može implicirati da i dalje postoji značajan potencijal u ovom segmentu u budućnosti.</w:t>
      </w:r>
    </w:p>
    <w:p w:rsidR="009C7C8C" w:rsidRDefault="009C7C8C" w:rsidP="009C7C8C">
      <w:pPr>
        <w:jc w:val="both"/>
      </w:pPr>
      <w:r>
        <w:t xml:space="preserve">Casino Hrvatske Lutrije je približno osmi po iznosu prihoda u Hrvatskoj u odnosu na druga </w:t>
      </w:r>
      <w:r w:rsidR="00092122">
        <w:t>zemaljska</w:t>
      </w:r>
      <w:r>
        <w:t xml:space="preserve"> casina. </w:t>
      </w:r>
    </w:p>
    <w:p w:rsidR="009C7C8C" w:rsidRDefault="00092122" w:rsidP="009C7C8C">
      <w:pPr>
        <w:jc w:val="both"/>
      </w:pPr>
      <w:r>
        <w:t>Zemaljski</w:t>
      </w:r>
      <w:r w:rsidR="009C7C8C">
        <w:t xml:space="preserve"> casino koji Hrvatska Lutrija posjeduje primarno se vodi iz razloga što je isti potreban za održavanje licence Internet casina. </w:t>
      </w:r>
    </w:p>
    <w:p w:rsidR="00DE7565" w:rsidRDefault="009C7C8C" w:rsidP="007C032D">
      <w:pPr>
        <w:jc w:val="both"/>
      </w:pPr>
      <w:r>
        <w:t>Ne planira se rast zemaljskog casina, s izuzetkom preseljenja postojećeg i eventu</w:t>
      </w:r>
      <w:r w:rsidR="007C032D">
        <w:t xml:space="preserve">alno otvaranje jednog na obali. </w:t>
      </w:r>
      <w:r>
        <w:t>Također, fokus će biti na daljnji razvoj iCasino proizvoda, kao dio redovnog poslovanja.</w:t>
      </w:r>
    </w:p>
    <w:p w:rsidR="00E01020" w:rsidRPr="001D66C3" w:rsidRDefault="0021529D" w:rsidP="00E01020">
      <w:pPr>
        <w:jc w:val="both"/>
        <w:rPr>
          <w:rFonts w:cs="Calibri"/>
        </w:rPr>
      </w:pPr>
      <w:r w:rsidRPr="001D66C3">
        <w:rPr>
          <w:rFonts w:cs="Calibri"/>
        </w:rPr>
        <w:t xml:space="preserve">U Republici Hrvatskoj igre na sreću </w:t>
      </w:r>
      <w:r>
        <w:rPr>
          <w:rFonts w:cs="Calibri"/>
        </w:rPr>
        <w:t xml:space="preserve">u casinima priređuje </w:t>
      </w:r>
      <w:r w:rsidR="00E01020" w:rsidRPr="001D66C3">
        <w:rPr>
          <w:rFonts w:cs="Calibri"/>
        </w:rPr>
        <w:t>15 priređivača u 21 casinu te 4 priređivača priređuje igre na sreću u casinima putem intera</w:t>
      </w:r>
      <w:r w:rsidR="00E01020">
        <w:rPr>
          <w:rFonts w:cs="Calibri"/>
        </w:rPr>
        <w:t>ktivnih</w:t>
      </w:r>
      <w:r w:rsidR="00E01020" w:rsidRPr="001D66C3">
        <w:rPr>
          <w:rFonts w:cs="Calibri"/>
        </w:rPr>
        <w:t xml:space="preserve"> prodajnih kanala online igranja.</w:t>
      </w:r>
    </w:p>
    <w:p w:rsidR="00E01020" w:rsidRPr="001D66C3" w:rsidRDefault="00E01020" w:rsidP="00E01020">
      <w:pPr>
        <w:jc w:val="both"/>
        <w:rPr>
          <w:rFonts w:cs="Calibri"/>
        </w:rPr>
      </w:pPr>
      <w:r w:rsidRPr="001D66C3">
        <w:rPr>
          <w:rFonts w:cs="Calibri"/>
        </w:rPr>
        <w:t xml:space="preserve">Udio Hrvatske Lutrije u broju automata za igre na sreću u casinu (online i offline) </w:t>
      </w:r>
      <w:r w:rsidR="00761F1F">
        <w:rPr>
          <w:rFonts w:cs="Calibri"/>
        </w:rPr>
        <w:t xml:space="preserve">je </w:t>
      </w:r>
      <w:r w:rsidRPr="001D66C3">
        <w:rPr>
          <w:rFonts w:cs="Calibri"/>
        </w:rPr>
        <w:t xml:space="preserve">6,5%. Ukupan udio u broju stolova za igre na sreću </w:t>
      </w:r>
      <w:r w:rsidR="00761F1F">
        <w:rPr>
          <w:rFonts w:cs="Calibri"/>
        </w:rPr>
        <w:t xml:space="preserve">je </w:t>
      </w:r>
      <w:r w:rsidRPr="001D66C3">
        <w:rPr>
          <w:rFonts w:cs="Calibri"/>
        </w:rPr>
        <w:t>4,44% (online i offline).</w:t>
      </w:r>
    </w:p>
    <w:p w:rsidR="00E01020" w:rsidRPr="001D66C3" w:rsidRDefault="00E01020" w:rsidP="00E01020">
      <w:pPr>
        <w:jc w:val="both"/>
        <w:rPr>
          <w:rFonts w:cs="Calibri"/>
        </w:rPr>
      </w:pPr>
      <w:r w:rsidRPr="001D66C3">
        <w:rPr>
          <w:rFonts w:cs="Calibri"/>
        </w:rPr>
        <w:lastRenderedPageBreak/>
        <w:t>Osim legalnih priređivača i dalje su na tržištu prisutni nelegalni priređivači, kako na zemaljskim lokacijama tako i na igrama putem interneta.</w:t>
      </w:r>
    </w:p>
    <w:p w:rsidR="00E01020" w:rsidRDefault="00E01020" w:rsidP="00E01020">
      <w:pPr>
        <w:jc w:val="both"/>
        <w:rPr>
          <w:rFonts w:cs="Calibri"/>
        </w:rPr>
      </w:pPr>
      <w:r w:rsidRPr="001D66C3">
        <w:rPr>
          <w:rFonts w:cs="Calibri"/>
        </w:rPr>
        <w:t>Obzirom na značaj internet casina, u grafovima je prikazan samo icasino. Dolazak legalne konkurencije pridonio je porastu uplata i prihoda, što može značiti da su legalni priređivači zajedničkim aktivnostima privukli igrače koji su prije igrali kod nelegalnih priređivača.</w:t>
      </w:r>
    </w:p>
    <w:p w:rsidR="000E0980" w:rsidRDefault="000E0980" w:rsidP="00E01020">
      <w:pPr>
        <w:jc w:val="both"/>
        <w:rPr>
          <w:rFonts w:cs="Calibri"/>
        </w:rPr>
      </w:pPr>
    </w:p>
    <w:p w:rsidR="000E0980" w:rsidRDefault="000E0980" w:rsidP="00E01020">
      <w:pPr>
        <w:jc w:val="both"/>
        <w:rPr>
          <w:rFonts w:cs="Calibri"/>
        </w:rPr>
      </w:pPr>
    </w:p>
    <w:p w:rsidR="000E0980" w:rsidRPr="001D66C3" w:rsidRDefault="000E0980" w:rsidP="00E01020">
      <w:pPr>
        <w:jc w:val="both"/>
        <w:rPr>
          <w:rFonts w:cs="Calibri"/>
        </w:rPr>
      </w:pPr>
    </w:p>
    <w:p w:rsidR="00044B28" w:rsidRDefault="00E01020" w:rsidP="006C73F1">
      <w:pPr>
        <w:spacing w:after="0" w:line="240" w:lineRule="auto"/>
        <w:jc w:val="both"/>
        <w:rPr>
          <w:rFonts w:asciiTheme="minorHAnsi" w:hAnsiTheme="minorHAnsi" w:cstheme="minorHAnsi"/>
        </w:rPr>
      </w:pPr>
      <w:r w:rsidRPr="001D66C3">
        <w:rPr>
          <w:rFonts w:cs="Calibri"/>
          <w:noProof/>
        </w:rPr>
        <w:drawing>
          <wp:inline distT="0" distB="0" distL="0" distR="0" wp14:anchorId="16AB3BD0" wp14:editId="42225874">
            <wp:extent cx="5619750" cy="31432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01020" w:rsidRDefault="00E01020" w:rsidP="006C73F1">
      <w:pPr>
        <w:spacing w:after="0" w:line="240" w:lineRule="auto"/>
        <w:jc w:val="both"/>
        <w:rPr>
          <w:rFonts w:asciiTheme="minorHAnsi" w:hAnsiTheme="minorHAnsi" w:cstheme="minorHAnsi"/>
        </w:rPr>
      </w:pPr>
    </w:p>
    <w:p w:rsidR="00E01020" w:rsidRDefault="00E01020" w:rsidP="006C73F1">
      <w:pPr>
        <w:spacing w:after="0" w:line="240" w:lineRule="auto"/>
        <w:jc w:val="both"/>
        <w:rPr>
          <w:rFonts w:asciiTheme="minorHAnsi" w:hAnsiTheme="minorHAnsi" w:cstheme="minorHAnsi"/>
        </w:rPr>
      </w:pPr>
    </w:p>
    <w:p w:rsidR="00E01020" w:rsidRDefault="00E01020" w:rsidP="006C73F1">
      <w:pPr>
        <w:spacing w:after="0" w:line="240" w:lineRule="auto"/>
        <w:jc w:val="both"/>
        <w:rPr>
          <w:rFonts w:asciiTheme="minorHAnsi" w:hAnsiTheme="minorHAnsi" w:cstheme="minorHAnsi"/>
        </w:rPr>
      </w:pPr>
      <w:r w:rsidRPr="001D66C3">
        <w:rPr>
          <w:noProof/>
        </w:rPr>
        <w:drawing>
          <wp:inline distT="0" distB="0" distL="0" distR="0" wp14:anchorId="006E5C2D" wp14:editId="24D2D9B4">
            <wp:extent cx="5619750" cy="3286125"/>
            <wp:effectExtent l="0" t="0" r="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01020" w:rsidRDefault="00E01020" w:rsidP="006C73F1">
      <w:pPr>
        <w:spacing w:after="0" w:line="240" w:lineRule="auto"/>
        <w:jc w:val="both"/>
        <w:rPr>
          <w:rFonts w:asciiTheme="minorHAnsi" w:hAnsiTheme="minorHAnsi" w:cstheme="minorHAnsi"/>
        </w:rPr>
      </w:pPr>
    </w:p>
    <w:p w:rsidR="00E01020" w:rsidRDefault="00E01020" w:rsidP="00E01020">
      <w:pPr>
        <w:spacing w:after="0" w:line="240" w:lineRule="auto"/>
        <w:jc w:val="both"/>
        <w:rPr>
          <w:rFonts w:asciiTheme="minorHAnsi" w:hAnsiTheme="minorHAnsi" w:cstheme="minorHAnsi"/>
        </w:rPr>
      </w:pPr>
      <w:r w:rsidRPr="00E01020">
        <w:rPr>
          <w:rFonts w:asciiTheme="minorHAnsi" w:hAnsiTheme="minorHAnsi" w:cstheme="minorHAnsi"/>
        </w:rPr>
        <w:lastRenderedPageBreak/>
        <w:t>Trendovi i navike igrača prate svjetske trendove te se udio odigravanja igara na sreću putem interneta povećava i to posebno putem mobilnih uređaja.</w:t>
      </w:r>
    </w:p>
    <w:p w:rsidR="00E01020" w:rsidRPr="00E01020" w:rsidRDefault="00E01020" w:rsidP="00E01020">
      <w:pPr>
        <w:spacing w:after="0" w:line="240" w:lineRule="auto"/>
        <w:jc w:val="both"/>
        <w:rPr>
          <w:rFonts w:asciiTheme="minorHAnsi" w:hAnsiTheme="minorHAnsi" w:cstheme="minorHAnsi"/>
        </w:rPr>
      </w:pPr>
    </w:p>
    <w:p w:rsidR="00E01020" w:rsidRDefault="00E01020" w:rsidP="006C73F1">
      <w:pPr>
        <w:spacing w:after="0" w:line="240" w:lineRule="auto"/>
        <w:jc w:val="both"/>
        <w:rPr>
          <w:rFonts w:asciiTheme="minorHAnsi" w:hAnsiTheme="minorHAnsi" w:cstheme="minorHAnsi"/>
        </w:rPr>
      </w:pPr>
      <w:r w:rsidRPr="001D66C3">
        <w:rPr>
          <w:noProof/>
        </w:rPr>
        <w:drawing>
          <wp:inline distT="0" distB="0" distL="0" distR="0" wp14:anchorId="6BD30865" wp14:editId="19F60580">
            <wp:extent cx="6120765" cy="2764790"/>
            <wp:effectExtent l="0" t="0" r="13335" b="16510"/>
            <wp:docPr id="23" name="Chart 23">
              <a:extLst xmlns:a="http://schemas.openxmlformats.org/drawingml/2006/main">
                <a:ext uri="{FF2B5EF4-FFF2-40B4-BE49-F238E27FC236}">
                  <a16:creationId xmlns:a16="http://schemas.microsoft.com/office/drawing/2014/main" id="{C3011108-95DB-4EEB-9379-9DF5168C7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01020" w:rsidRDefault="00E01020" w:rsidP="006C73F1">
      <w:pPr>
        <w:spacing w:after="0" w:line="240" w:lineRule="auto"/>
        <w:jc w:val="both"/>
        <w:rPr>
          <w:rFonts w:asciiTheme="minorHAnsi" w:hAnsiTheme="minorHAnsi" w:cstheme="minorHAnsi"/>
        </w:rPr>
      </w:pPr>
    </w:p>
    <w:p w:rsidR="0021529D" w:rsidRPr="0021529D" w:rsidRDefault="0021529D" w:rsidP="0021529D">
      <w:pPr>
        <w:spacing w:after="0" w:line="240" w:lineRule="auto"/>
        <w:jc w:val="both"/>
        <w:rPr>
          <w:rFonts w:asciiTheme="minorHAnsi" w:hAnsiTheme="minorHAnsi" w:cstheme="minorHAnsi"/>
        </w:rPr>
      </w:pPr>
      <w:r w:rsidRPr="0021529D">
        <w:rPr>
          <w:rFonts w:asciiTheme="minorHAnsi" w:hAnsiTheme="minorHAnsi" w:cstheme="minorHAnsi"/>
        </w:rPr>
        <w:t xml:space="preserve">Ovisno o angažmanu postojeće i nove konkurencije, tržište će rasti i </w:t>
      </w:r>
      <w:r w:rsidR="001F2568">
        <w:rPr>
          <w:rFonts w:asciiTheme="minorHAnsi" w:hAnsiTheme="minorHAnsi" w:cstheme="minorHAnsi"/>
        </w:rPr>
        <w:t>dijeliti se među priređivačima. U 2019.godini očekuje se dolazak novog konkurenata.</w:t>
      </w:r>
    </w:p>
    <w:p w:rsidR="0021529D" w:rsidRPr="0021529D" w:rsidRDefault="0021529D" w:rsidP="0021529D">
      <w:pPr>
        <w:spacing w:after="0" w:line="240" w:lineRule="auto"/>
        <w:jc w:val="both"/>
        <w:rPr>
          <w:rFonts w:asciiTheme="minorHAnsi" w:hAnsiTheme="minorHAnsi" w:cstheme="minorHAnsi"/>
        </w:rPr>
      </w:pPr>
      <w:r w:rsidRPr="0021529D">
        <w:rPr>
          <w:rFonts w:asciiTheme="minorHAnsi" w:hAnsiTheme="minorHAnsi" w:cstheme="minorHAnsi"/>
        </w:rPr>
        <w:t>Ovisno o brzini stvaranja preduvjeta rezultat u 2019. bi mogao biti u najboljem slučaju pozicioniranje na tržištu Internet casina sa udjelom preko 30%.</w:t>
      </w:r>
    </w:p>
    <w:p w:rsidR="0021529D" w:rsidRPr="0021529D" w:rsidRDefault="0021529D" w:rsidP="0021529D">
      <w:pPr>
        <w:spacing w:after="0" w:line="240" w:lineRule="auto"/>
        <w:jc w:val="both"/>
        <w:rPr>
          <w:rFonts w:asciiTheme="minorHAnsi" w:hAnsiTheme="minorHAnsi" w:cstheme="minorHAnsi"/>
        </w:rPr>
      </w:pPr>
    </w:p>
    <w:p w:rsidR="0021529D" w:rsidRDefault="0021529D" w:rsidP="0021529D">
      <w:pPr>
        <w:spacing w:after="0" w:line="240" w:lineRule="auto"/>
        <w:jc w:val="both"/>
        <w:rPr>
          <w:rFonts w:asciiTheme="minorHAnsi" w:hAnsiTheme="minorHAnsi" w:cstheme="minorHAnsi"/>
        </w:rPr>
      </w:pPr>
      <w:r w:rsidRPr="0021529D">
        <w:rPr>
          <w:rFonts w:asciiTheme="minorHAnsi" w:hAnsiTheme="minorHAnsi" w:cstheme="minorHAnsi"/>
        </w:rPr>
        <w:t>Uvođenjem najmodernijih tehnologija upravljanja igračima i portfeljem proizvoda općenito</w:t>
      </w:r>
      <w:r w:rsidR="001F2568">
        <w:rPr>
          <w:rFonts w:asciiTheme="minorHAnsi" w:hAnsiTheme="minorHAnsi" w:cstheme="minorHAnsi"/>
        </w:rPr>
        <w:t xml:space="preserve"> implementacijom </w:t>
      </w:r>
      <w:r w:rsidRPr="0021529D">
        <w:rPr>
          <w:rFonts w:asciiTheme="minorHAnsi" w:hAnsiTheme="minorHAnsi" w:cstheme="minorHAnsi"/>
        </w:rPr>
        <w:t xml:space="preserve"> nov</w:t>
      </w:r>
      <w:r w:rsidR="001F2568">
        <w:rPr>
          <w:rFonts w:asciiTheme="minorHAnsi" w:hAnsiTheme="minorHAnsi" w:cstheme="minorHAnsi"/>
        </w:rPr>
        <w:t>e platforme,</w:t>
      </w:r>
      <w:r w:rsidRPr="0021529D">
        <w:rPr>
          <w:rFonts w:asciiTheme="minorHAnsi" w:hAnsiTheme="minorHAnsi" w:cstheme="minorHAnsi"/>
        </w:rPr>
        <w:t xml:space="preserve"> </w:t>
      </w:r>
      <w:r w:rsidR="001F2568">
        <w:rPr>
          <w:rFonts w:asciiTheme="minorHAnsi" w:hAnsiTheme="minorHAnsi" w:cstheme="minorHAnsi"/>
        </w:rPr>
        <w:t>Hrvatska Lutrija očekuje</w:t>
      </w:r>
      <w:r w:rsidRPr="0021529D">
        <w:rPr>
          <w:rFonts w:asciiTheme="minorHAnsi" w:hAnsiTheme="minorHAnsi" w:cstheme="minorHAnsi"/>
        </w:rPr>
        <w:t xml:space="preserve"> optimizaciju i dodanu vrijednost u odnosu na postojeće stanje, a što će u konačnici doprinijeti ostvarenju zadanih ciljeva u razdoblju koje slijedi.</w:t>
      </w:r>
    </w:p>
    <w:p w:rsidR="00EB62DF" w:rsidRDefault="00EB62DF" w:rsidP="0021529D">
      <w:pPr>
        <w:spacing w:after="0" w:line="240" w:lineRule="auto"/>
        <w:jc w:val="both"/>
        <w:rPr>
          <w:rFonts w:asciiTheme="minorHAnsi" w:hAnsiTheme="minorHAnsi" w:cstheme="minorHAnsi"/>
        </w:rPr>
      </w:pPr>
    </w:p>
    <w:p w:rsidR="006D7596" w:rsidRDefault="006D7596" w:rsidP="0021529D">
      <w:pPr>
        <w:spacing w:after="0" w:line="240" w:lineRule="auto"/>
        <w:jc w:val="both"/>
        <w:rPr>
          <w:rFonts w:asciiTheme="minorHAnsi" w:hAnsiTheme="minorHAnsi" w:cstheme="minorHAnsi"/>
        </w:rPr>
      </w:pPr>
    </w:p>
    <w:p w:rsidR="00A37E73" w:rsidRDefault="00A37E73" w:rsidP="00A37E73">
      <w:pPr>
        <w:pStyle w:val="Heading1"/>
        <w:numPr>
          <w:ilvl w:val="1"/>
          <w:numId w:val="16"/>
        </w:numPr>
        <w:rPr>
          <w:rFonts w:ascii="Calibri" w:hAnsi="Calibri" w:cs="Calibri"/>
          <w:sz w:val="28"/>
          <w:szCs w:val="28"/>
        </w:rPr>
      </w:pPr>
      <w:bookmarkStart w:id="9" w:name="_Toc533660855"/>
      <w:r w:rsidRPr="00A37E73">
        <w:rPr>
          <w:rFonts w:ascii="Calibri" w:hAnsi="Calibri" w:cs="Calibri"/>
          <w:sz w:val="28"/>
          <w:szCs w:val="28"/>
        </w:rPr>
        <w:t>Pregled tržišta lutrijskih igara</w:t>
      </w:r>
      <w:bookmarkEnd w:id="9"/>
      <w:r w:rsidRPr="00A37E73">
        <w:rPr>
          <w:rFonts w:ascii="Calibri" w:hAnsi="Calibri" w:cs="Calibri"/>
          <w:sz w:val="28"/>
          <w:szCs w:val="28"/>
        </w:rPr>
        <w:t xml:space="preserve"> </w:t>
      </w:r>
    </w:p>
    <w:p w:rsidR="00F83FF6" w:rsidRPr="00F83FF6" w:rsidRDefault="00F83FF6" w:rsidP="00F83FF6"/>
    <w:p w:rsidR="000E0980" w:rsidRDefault="000E0980" w:rsidP="00EE3FCF">
      <w:pPr>
        <w:jc w:val="both"/>
      </w:pPr>
      <w:r>
        <w:t>Hrvatsk</w:t>
      </w:r>
      <w:r w:rsidR="00EE3FCF">
        <w:t>a</w:t>
      </w:r>
      <w:r>
        <w:t xml:space="preserve"> lutrija je u segmentu lutrijskih igara nominalno monopolist na hrvatskom tržištu. U stvarnosti je situacija značajno drugačija zbog prisutnosti klađenja na loto brojeve. Taj segment poslovanja ima ogroman utjecaj na uplatu igara izvlačenja iz segmenta lutrijskih igara.</w:t>
      </w:r>
    </w:p>
    <w:p w:rsidR="000E0980" w:rsidRDefault="000E0980" w:rsidP="00EE3FCF">
      <w:pPr>
        <w:jc w:val="both"/>
      </w:pPr>
      <w:r>
        <w:t xml:space="preserve">Klađenje na loto brojeve u Kladionici Hrvatske lutrije nosi </w:t>
      </w:r>
      <w:r w:rsidR="00EE3FCF">
        <w:t>oko</w:t>
      </w:r>
      <w:r>
        <w:t xml:space="preserve"> 20% prometa. Ne posjedujemo točne podatke za cjelokupno hrvatsko tržište, ali pretpostavka je da je sličan udio prisutan i na cijelom tržištu. To znači da je godišnja uplata loto klađenja na cijelom hrvatskom tržištu na razini jedne milijarde kuna.</w:t>
      </w:r>
    </w:p>
    <w:p w:rsidR="000E0980" w:rsidRDefault="000E0980" w:rsidP="00EE3FCF">
      <w:pPr>
        <w:jc w:val="both"/>
      </w:pPr>
      <w:r>
        <w:t xml:space="preserve">Uplata na igre izvlačenja u zadnjih 5 godina iznosi u prosjeku 570 milijuna kuna. </w:t>
      </w:r>
      <w:r w:rsidR="00EE3FCF">
        <w:t>Iz toga se može izvući zaključak</w:t>
      </w:r>
      <w:r>
        <w:t xml:space="preserve"> da je klađenje na loto brojeve gotovo dvostruko jače. </w:t>
      </w:r>
      <w:r w:rsidR="00EE3FCF">
        <w:t>Ko</w:t>
      </w:r>
      <w:r>
        <w:t xml:space="preserve">d klađenja na loto brojeve igrači sami biraju visinu uloga, broj brojeva koje žele igrati/pogoditi, imaju prilagođene sistemske igre i što je najvažnije povrat je </w:t>
      </w:r>
      <w:r w:rsidR="00EE3FCF">
        <w:t>velikih</w:t>
      </w:r>
      <w:r>
        <w:t xml:space="preserve"> 90%. Izvlačenja su u pojedinim situacijama svakih 5 minuta.</w:t>
      </w:r>
    </w:p>
    <w:p w:rsidR="000E0980" w:rsidRDefault="000E0980" w:rsidP="00EE3FCF">
      <w:pPr>
        <w:jc w:val="both"/>
      </w:pPr>
      <w:r>
        <w:lastRenderedPageBreak/>
        <w:t>Kod lutrijskih igara izvlačenja (Loto, Bingo i Keno igre) sve navedene stvari su predefinirane, dinamika izvlačenja je sporija, a povrat je većinom 50%.</w:t>
      </w:r>
    </w:p>
    <w:p w:rsidR="000E0980" w:rsidRDefault="000E0980" w:rsidP="00EE3FCF">
      <w:pPr>
        <w:jc w:val="both"/>
      </w:pPr>
      <w:r>
        <w:t>Radi se o neravnopravnoj utakmici koju klasične igre izvlačenja teško mogu dobiti.</w:t>
      </w:r>
    </w:p>
    <w:p w:rsidR="000E0980" w:rsidRDefault="000E0980" w:rsidP="00EE3FCF">
      <w:pPr>
        <w:jc w:val="both"/>
      </w:pPr>
      <w:r>
        <w:t>Potrebno je istaknuti i činjenicu da je klađenje na loto brojeve na ovaj način i u ovolikoj mjeri specifičnost hrvatskog tržišta. Druge zemlje članice EU uglavnom su prepoznale problem i zabranile ili limitirale takvu vrstu klađenja.</w:t>
      </w:r>
    </w:p>
    <w:p w:rsidR="000E0980" w:rsidRDefault="000E0980" w:rsidP="00EE3FCF">
      <w:pPr>
        <w:jc w:val="both"/>
      </w:pPr>
      <w:r>
        <w:t>Drugi veliki problem predstavljaju ilegalni Internet „priređivači“. Radi se o specijaliziranim tvrtkama koje putem interneta i svojih web stranica omogućuju uplatu najatraktivnijih svjetskih loto igara. Na taj način igrač iz Hrvatske može igrati američke loto igre (MegaMillions, PowerBall), europski EuroMillions i mnoge druge. Posrednik koji omogućava takve uplate uzima proviziju od igrača (naplaćuje igraču višu cijenu igre nego što ona nominalno je), a dobitke isplaćuje iz sredstava osiguranim kod osiguravajućih kuća.</w:t>
      </w:r>
    </w:p>
    <w:p w:rsidR="000E0980" w:rsidRDefault="000E0980" w:rsidP="00EE3FCF">
      <w:pPr>
        <w:jc w:val="both"/>
      </w:pPr>
      <w:r>
        <w:t>Ni na koji način takvi posrednici nisu u poslovnoj suradnji s pravim priređivačima igara. Radi se o nametnicima koji nemaju troška oko organizacije igre, dobro zarađuju na igrama koje lokalni priređivači organiziraju uz ne</w:t>
      </w:r>
      <w:r w:rsidR="00EE3FCF">
        <w:t xml:space="preserve"> </w:t>
      </w:r>
      <w:r>
        <w:t xml:space="preserve">male troškove i njihova zarada umjesto da završi dobrim dijelom za opće dobro završava </w:t>
      </w:r>
      <w:r w:rsidR="00EE3FCF">
        <w:t>kao dobit isključivo</w:t>
      </w:r>
      <w:r>
        <w:t xml:space="preserve"> privatnih vlasnika. Najpoznatiji primjer takve prakse je firma Lottoland.</w:t>
      </w:r>
    </w:p>
    <w:p w:rsidR="000E0980" w:rsidRDefault="000E0980" w:rsidP="00EE3FCF">
      <w:pPr>
        <w:jc w:val="both"/>
      </w:pPr>
      <w:r>
        <w:t xml:space="preserve">Hrvatska lutrija se u skladu s praksom na drugim europskim tržištima bori na suzbijanju navedenih praksi. Treba istaknuti da je to borba u kojoj sama </w:t>
      </w:r>
      <w:r w:rsidR="00EE3FCF">
        <w:t xml:space="preserve">Hrvatska </w:t>
      </w:r>
      <w:r>
        <w:t xml:space="preserve">Lutrija ne može izvojevati pobjedu već treba </w:t>
      </w:r>
      <w:r w:rsidR="00EE3FCF">
        <w:t xml:space="preserve">potporu </w:t>
      </w:r>
      <w:r>
        <w:t>državnih institucija.</w:t>
      </w:r>
    </w:p>
    <w:p w:rsidR="000E0980" w:rsidRDefault="000E0980" w:rsidP="00EE3FCF">
      <w:pPr>
        <w:jc w:val="both"/>
      </w:pPr>
      <w:r>
        <w:t>Unatoč navedenom Hrvatska lutrija je u segmentu lutrijskih igara, a posebice igara izvlačenja ostvarila znatan rast u 2018. godini. Promet koji će biti ostvaren je preko 600 milijuna kuna. Rezultat je to uvođenja nove igre (Keno-Brzih 35), značajnog redizajna igre Loto 7, kao i povoljnog scenarija u igri Eurojackpot (relativno rijetko izvlačenje Jackpotova u 2018. godini dovelo je do čestih situacija kada je Jackpot bio na atraktivnim iznosima ili čak maksimumu).</w:t>
      </w:r>
    </w:p>
    <w:p w:rsidR="000E0980" w:rsidRDefault="000E0980" w:rsidP="00EE3FCF">
      <w:pPr>
        <w:jc w:val="both"/>
      </w:pPr>
      <w:r>
        <w:t>Sam Eurojackpot postaje najjača lutrijska igra u portfelju Hrvatske lutrije s udjelom u prometu od 45%. Ta činjenica nosi sa sobom rizik koji je prepoznat i zbog toga će u sljedećem razdoblju jači marketinški fokus biti uz Eurojackpot i na domaćim igrama.</w:t>
      </w:r>
    </w:p>
    <w:p w:rsidR="000E0980" w:rsidRDefault="000E0980" w:rsidP="000E0980"/>
    <w:p w:rsidR="000E0980" w:rsidRDefault="000E0980" w:rsidP="00EE3FCF">
      <w:pPr>
        <w:jc w:val="both"/>
      </w:pPr>
      <w:r>
        <w:t>U sljedećem trogodišnjem razdoblju (2019.-2021.) očekuje se daljnji rast prometa i prihoda</w:t>
      </w:r>
      <w:r w:rsidR="00EE3FCF">
        <w:t xml:space="preserve"> u segmentu lutrijskih igara</w:t>
      </w:r>
      <w:r>
        <w:t>. 2019. godina predstavljat će godinu prijelaza i pripreme za novu</w:t>
      </w:r>
      <w:r w:rsidR="00EE3FCF">
        <w:t xml:space="preserve"> igraču </w:t>
      </w:r>
      <w:r>
        <w:t xml:space="preserve">platformu. Maksimalno ćemo se koristiti internim resursima (marketinško-prodajnim) da iskoristimo potencijal postojećih igara. </w:t>
      </w:r>
      <w:r w:rsidR="00EE3FCF">
        <w:t>Paralelno</w:t>
      </w:r>
      <w:r>
        <w:t xml:space="preserve"> će se raditi na pripremi za integraciju nove platforme. Nova platforma je</w:t>
      </w:r>
      <w:r w:rsidR="00EE3FCF">
        <w:t xml:space="preserve"> ključan</w:t>
      </w:r>
      <w:r>
        <w:t xml:space="preserve"> projekt i s njenim startom koji je planiran početkom 2020. godine Hrvatska lutrija bi trebala ući u novo razdoblje, moderno razdoblje sa alatima koji nam trenutno nisu dostupni i s agilnim pristupom. Bonusiranje igrača, pro</w:t>
      </w:r>
      <w:r>
        <w:lastRenderedPageBreak/>
        <w:t>gram vjernosti uz personalizirani pristup igračima, razvoj samih igara na brži način, implementiranje svih kanala prodaje, uz uvođenje kvalitetnog web i mobil</w:t>
      </w:r>
      <w:r w:rsidR="00EE3FCF">
        <w:t>nog</w:t>
      </w:r>
      <w:r>
        <w:t xml:space="preserve"> pristupa, sve su to novosti i iskoraci koji garantiraju novi iskorak i rast u sljedećim godinama.</w:t>
      </w:r>
    </w:p>
    <w:p w:rsidR="000E0980" w:rsidRDefault="000E0980" w:rsidP="000E0980"/>
    <w:p w:rsidR="00A37E73" w:rsidRPr="00A37E73" w:rsidRDefault="00A37E73" w:rsidP="00A37E73"/>
    <w:p w:rsidR="00E24449" w:rsidRDefault="00E24449" w:rsidP="00E01020">
      <w:pPr>
        <w:pStyle w:val="Heading1"/>
        <w:numPr>
          <w:ilvl w:val="0"/>
          <w:numId w:val="16"/>
        </w:numPr>
        <w:jc w:val="both"/>
        <w:rPr>
          <w:rFonts w:ascii="Calibri" w:hAnsi="Calibri" w:cs="Calibri"/>
          <w:sz w:val="28"/>
          <w:szCs w:val="28"/>
        </w:rPr>
      </w:pPr>
      <w:bookmarkStart w:id="10" w:name="_Toc533660856"/>
      <w:r w:rsidRPr="00E24449">
        <w:rPr>
          <w:rFonts w:ascii="Calibri" w:hAnsi="Calibri" w:cs="Calibri"/>
          <w:sz w:val="28"/>
          <w:szCs w:val="28"/>
        </w:rPr>
        <w:t>KRATKA ANALIZA RAZDOBLJA OD 2015. DO 2018. GODINE</w:t>
      </w:r>
      <w:bookmarkEnd w:id="10"/>
    </w:p>
    <w:p w:rsidR="00D32EB7" w:rsidRPr="00D32EB7" w:rsidRDefault="00D32EB7" w:rsidP="00E01020">
      <w:pPr>
        <w:pStyle w:val="Heading1"/>
        <w:numPr>
          <w:ilvl w:val="1"/>
          <w:numId w:val="16"/>
        </w:numPr>
        <w:jc w:val="both"/>
        <w:rPr>
          <w:rFonts w:ascii="Calibri" w:hAnsi="Calibri" w:cs="Calibri"/>
          <w:sz w:val="28"/>
          <w:szCs w:val="28"/>
        </w:rPr>
      </w:pPr>
      <w:bookmarkStart w:id="11" w:name="_Toc533660857"/>
      <w:r w:rsidRPr="00D32EB7">
        <w:rPr>
          <w:rFonts w:ascii="Calibri" w:hAnsi="Calibri" w:cs="Calibri"/>
          <w:sz w:val="28"/>
          <w:szCs w:val="28"/>
        </w:rPr>
        <w:t>Značajke po</w:t>
      </w:r>
      <w:r>
        <w:rPr>
          <w:rFonts w:ascii="Calibri" w:hAnsi="Calibri" w:cs="Calibri"/>
          <w:sz w:val="28"/>
          <w:szCs w:val="28"/>
        </w:rPr>
        <w:t>slovanja za razdoblje od 2015. d</w:t>
      </w:r>
      <w:r w:rsidRPr="00D32EB7">
        <w:rPr>
          <w:rFonts w:ascii="Calibri" w:hAnsi="Calibri" w:cs="Calibri"/>
          <w:sz w:val="28"/>
          <w:szCs w:val="28"/>
        </w:rPr>
        <w:t xml:space="preserve">o 2018. </w:t>
      </w:r>
      <w:r>
        <w:rPr>
          <w:rFonts w:ascii="Calibri" w:hAnsi="Calibri" w:cs="Calibri"/>
          <w:sz w:val="28"/>
          <w:szCs w:val="28"/>
        </w:rPr>
        <w:t>g</w:t>
      </w:r>
      <w:r w:rsidRPr="00D32EB7">
        <w:rPr>
          <w:rFonts w:ascii="Calibri" w:hAnsi="Calibri" w:cs="Calibri"/>
          <w:sz w:val="28"/>
          <w:szCs w:val="28"/>
        </w:rPr>
        <w:t>odine</w:t>
      </w:r>
      <w:bookmarkEnd w:id="11"/>
    </w:p>
    <w:p w:rsidR="00E24449" w:rsidRDefault="00E24449" w:rsidP="00E24449"/>
    <w:p w:rsidR="00E24449" w:rsidRDefault="00E24449" w:rsidP="00EB62DF">
      <w:pPr>
        <w:jc w:val="both"/>
      </w:pPr>
      <w:r>
        <w:t>Proteklo razdoblje od 2015. do 2018.godine obilježilo je niz značajnih događaja i aktivnosti:</w:t>
      </w:r>
    </w:p>
    <w:p w:rsidR="00E24449" w:rsidRDefault="00633701" w:rsidP="00EB62DF">
      <w:pPr>
        <w:pStyle w:val="ListParagraph"/>
        <w:numPr>
          <w:ilvl w:val="0"/>
          <w:numId w:val="17"/>
        </w:numPr>
        <w:jc w:val="both"/>
      </w:pPr>
      <w:r>
        <w:t>Kao j</w:t>
      </w:r>
      <w:r w:rsidR="00E24449">
        <w:t xml:space="preserve">edan od najznačajnih </w:t>
      </w:r>
      <w:r>
        <w:t>i najuspješnijih projekata izdvajamo uvođenje iCasina u travnju 2015.godine. ICasino je bio prvi legalni internetski casino u Hrvatskoj kojim je igračima omogućeno odigravanje velikog broja casino igara kad god to požele</w:t>
      </w:r>
      <w:r w:rsidR="003D3C44">
        <w:t>. U 2017. godini dogodila se očekivana pojava konkurentskih priređivača (2 dodatna priređivača), što znači da Hrvatska Lutrija d.o.o. više nije jedini priređivač na području Republike Hrvatske. S dolaskom konkurencije 1. siječnja 2017. godine (Super Sport i PSK), HL je nastavila trend rasta prihoda po stopi od 28%.</w:t>
      </w:r>
      <w:r w:rsidR="003D3C44" w:rsidRPr="003D3C44">
        <w:t xml:space="preserve"> </w:t>
      </w:r>
      <w:r w:rsidR="003D3C44">
        <w:t>Istovremeno, postotni udjel prihoda HL-a na tržištu RH na kraju 2017.godine iznosi</w:t>
      </w:r>
      <w:r w:rsidR="00B61CF9">
        <w:t>o</w:t>
      </w:r>
      <w:r w:rsidR="003D3C44">
        <w:t xml:space="preserve"> je 33,38%.</w:t>
      </w:r>
    </w:p>
    <w:p w:rsidR="00CE12E7" w:rsidRDefault="00CE12E7" w:rsidP="00EB62DF">
      <w:pPr>
        <w:pStyle w:val="ListParagraph"/>
        <w:jc w:val="both"/>
      </w:pPr>
    </w:p>
    <w:p w:rsidR="000E2F3C" w:rsidRDefault="00633701" w:rsidP="00CD3AA4">
      <w:pPr>
        <w:pStyle w:val="ListParagraph"/>
        <w:numPr>
          <w:ilvl w:val="0"/>
          <w:numId w:val="17"/>
        </w:numPr>
        <w:jc w:val="both"/>
      </w:pPr>
      <w:r>
        <w:t>Tijekom 2015.godine u ponudu Hrvatske Lutrije uvedeno je klađenje uživo, a igra Loto 7/39 je osvježena. Kao najveća novost Lota 7/39 uvedena je „zlatna kuglica“</w:t>
      </w:r>
    </w:p>
    <w:p w:rsidR="000E2F3C" w:rsidRDefault="000E2F3C" w:rsidP="00EB62DF">
      <w:pPr>
        <w:pStyle w:val="ListParagraph"/>
        <w:jc w:val="both"/>
      </w:pPr>
    </w:p>
    <w:p w:rsidR="00633701" w:rsidRDefault="00B047D9" w:rsidP="00EB62DF">
      <w:pPr>
        <w:pStyle w:val="ListParagraph"/>
        <w:numPr>
          <w:ilvl w:val="0"/>
          <w:numId w:val="17"/>
        </w:numPr>
        <w:jc w:val="both"/>
      </w:pPr>
      <w:r>
        <w:t>Od 2016.godine igračima je dostupan Online Bingo – lutrijska igra kao dio ponude iCasina</w:t>
      </w:r>
    </w:p>
    <w:p w:rsidR="00CE12E7" w:rsidRDefault="00CE12E7" w:rsidP="00EB62DF">
      <w:pPr>
        <w:pStyle w:val="ListParagraph"/>
        <w:jc w:val="both"/>
      </w:pPr>
    </w:p>
    <w:p w:rsidR="003A5CF4" w:rsidRDefault="00B047D9" w:rsidP="00CD3AA4">
      <w:pPr>
        <w:pStyle w:val="ListParagraph"/>
        <w:numPr>
          <w:ilvl w:val="0"/>
          <w:numId w:val="17"/>
        </w:numPr>
        <w:jc w:val="both"/>
      </w:pPr>
      <w:r>
        <w:t>Nakon što je 2016. godine uspješno izvršen razvoj softwarea, testiranje i tiha produkcija, početkom 2017. godine definirani su modeli poslovne suradnje, kanal prodaje - samoposlužni terminal (HL Box) u stvarnu produkciju krenuo je početkom 2017. godine.</w:t>
      </w:r>
      <w:r w:rsidR="0026394F">
        <w:t xml:space="preserve"> Do studenog 2018.godine ukupno je aktivno 278 lokacija sa samoposlužnim terminalima, a procijenjen promet putem HL Box kanala prodaje za 2018.godinu iznosi 21,8 mil.kn.</w:t>
      </w:r>
    </w:p>
    <w:p w:rsidR="003A5CF4" w:rsidRDefault="003A5CF4" w:rsidP="00EB62DF">
      <w:pPr>
        <w:pStyle w:val="ListParagraph"/>
        <w:jc w:val="both"/>
      </w:pPr>
    </w:p>
    <w:p w:rsidR="0026394F" w:rsidRDefault="00871EE7" w:rsidP="00EB62DF">
      <w:pPr>
        <w:pStyle w:val="ListParagraph"/>
        <w:numPr>
          <w:ilvl w:val="0"/>
          <w:numId w:val="17"/>
        </w:numPr>
        <w:jc w:val="both"/>
      </w:pPr>
      <w:r>
        <w:t>Mjenjačnice u automat klubovima i k</w:t>
      </w:r>
      <w:r w:rsidR="003A5CF4">
        <w:t xml:space="preserve">ladionicama – tijekom 2017. godine puštena su u funkciju tri mjenjačka mjesta u automat klubovima i 3 mjenjačka mjesta u kladionicama. Hrvatska Lutrija d.o.o. je u 2017. godini poslovala na 7 mjenjačkih mjesta, obzirom da u Casinu International mjenjačko mjesto posluje od ranije. </w:t>
      </w:r>
    </w:p>
    <w:p w:rsidR="003A5CF4" w:rsidRPr="00E24449" w:rsidRDefault="003A5CF4" w:rsidP="00EB62DF">
      <w:pPr>
        <w:pStyle w:val="ListParagraph"/>
        <w:jc w:val="both"/>
      </w:pPr>
    </w:p>
    <w:p w:rsidR="00E24449" w:rsidRDefault="003A5CF4" w:rsidP="00EB62DF">
      <w:pPr>
        <w:pStyle w:val="ListParagraph"/>
        <w:numPr>
          <w:ilvl w:val="0"/>
          <w:numId w:val="17"/>
        </w:numPr>
        <w:jc w:val="both"/>
      </w:pPr>
      <w:r w:rsidRPr="003A5CF4">
        <w:t>Povećanje udjela u ukupnom tržištu klađenja - prema podacima Ministarstva financija Republike Hrvatske Hrvatska Lutrija d.o.o. je u 2016. godini imala udjel u ukup</w:t>
      </w:r>
      <w:r w:rsidRPr="003A5CF4">
        <w:lastRenderedPageBreak/>
        <w:t>nom tržištu klađenja od 8,6%, čime je zadržala treću poziciju, uz isti broj koncesionara (6 priređivača igara klađenja). U 2017. i 2018.godini</w:t>
      </w:r>
      <w:r w:rsidR="00333AB2">
        <w:t xml:space="preserve"> proveden je niz akcija (uvođe</w:t>
      </w:r>
      <w:r w:rsidRPr="003A5CF4">
        <w:t>nje uplate/isplate na prodajnom mjestu, veća dostupnost igranja putem kladomata, klađenje uživo na prodajnom mjestu, povećanje broja događaja klađenja uživo, bonusiranje igrača, nagradne igre) s ciljem povećanja udjela u ukupnom tržištu te je zaustavljen pad i ostvaren rast udjela na tržištu klađenja koji u 2018.</w:t>
      </w:r>
      <w:r w:rsidR="00FC69DB">
        <w:t xml:space="preserve"> </w:t>
      </w:r>
      <w:r w:rsidRPr="003A5CF4">
        <w:t xml:space="preserve">godini za prvih 9 mjeseci iznosi 9,9% </w:t>
      </w:r>
    </w:p>
    <w:p w:rsidR="00B61CF9" w:rsidRDefault="00B61CF9" w:rsidP="00EB62DF">
      <w:pPr>
        <w:pStyle w:val="ListParagraph"/>
        <w:jc w:val="both"/>
      </w:pPr>
    </w:p>
    <w:p w:rsidR="00B61CF9" w:rsidRDefault="004864CA" w:rsidP="00EB62DF">
      <w:pPr>
        <w:pStyle w:val="ListParagraph"/>
        <w:numPr>
          <w:ilvl w:val="0"/>
          <w:numId w:val="17"/>
        </w:numPr>
        <w:jc w:val="both"/>
      </w:pPr>
      <w:r>
        <w:t xml:space="preserve">Tijekom 2017.godine, uvedena je Eurojackpot sistemska igra, kojom se želi </w:t>
      </w:r>
      <w:r w:rsidR="00B61CF9" w:rsidRPr="00B61CF9">
        <w:t>dodatno iskoristiti potencijal trenutno najviše igrane loto igre na hrvatskom tržištu i odgovoriti na zahtjeve igrača koji sve više traže taj tip igre. Sistemska igra omogućava odigravanje većeg broja kombinacija na jednostavan i sustavan način.</w:t>
      </w:r>
    </w:p>
    <w:p w:rsidR="003F1764" w:rsidRDefault="003F1764" w:rsidP="00EB62DF">
      <w:pPr>
        <w:pStyle w:val="ListParagraph"/>
        <w:jc w:val="both"/>
      </w:pPr>
    </w:p>
    <w:p w:rsidR="003F1764" w:rsidRDefault="003F1764" w:rsidP="00EB62DF">
      <w:pPr>
        <w:pStyle w:val="ListParagraph"/>
        <w:numPr>
          <w:ilvl w:val="0"/>
          <w:numId w:val="17"/>
        </w:numPr>
        <w:jc w:val="both"/>
      </w:pPr>
      <w:r w:rsidRPr="006F2062">
        <w:t>Projekt</w:t>
      </w:r>
      <w:r>
        <w:t>om</w:t>
      </w:r>
      <w:r w:rsidRPr="006F2062">
        <w:t xml:space="preserve"> „Tko zapravo pobjeđuje“ </w:t>
      </w:r>
      <w:r>
        <w:t xml:space="preserve">ostvarena je suradnja </w:t>
      </w:r>
      <w:r w:rsidRPr="006F2062">
        <w:t>s Edukacijsko-rehabilitacijskim fakultetom</w:t>
      </w:r>
      <w:r>
        <w:t xml:space="preserve"> Sveučilišta u Zagrebu. Osnovni cilj programa je prevencija kockanja maloljetnika, ali i razvoj kriti</w:t>
      </w:r>
      <w:r w:rsidR="004864CA">
        <w:t>čkog mišljenja kod maloljetnika i ispravnog odnosa prema igrama na sreću, odnosno razvoja osobnog odgovornog ponašanja.</w:t>
      </w:r>
    </w:p>
    <w:p w:rsidR="003F61FD" w:rsidRDefault="003F61FD" w:rsidP="00EB62DF">
      <w:pPr>
        <w:pStyle w:val="ListParagraph"/>
        <w:jc w:val="both"/>
      </w:pPr>
    </w:p>
    <w:p w:rsidR="003F61FD" w:rsidRDefault="003C58E3" w:rsidP="00EB62DF">
      <w:pPr>
        <w:pStyle w:val="ListParagraph"/>
        <w:numPr>
          <w:ilvl w:val="0"/>
          <w:numId w:val="17"/>
        </w:numPr>
        <w:jc w:val="both"/>
      </w:pPr>
      <w:r>
        <w:t>2015.godine usvojen je Pravilnik za utvrđivanje stimulativnog dijela plaće radnika u teritorijalnim organizacijskim jedinicama</w:t>
      </w:r>
      <w:r w:rsidR="00512649">
        <w:t xml:space="preserve"> (Front Office i CIAK)</w:t>
      </w:r>
      <w:r>
        <w:t>. Analizom ispunjenja ciljeva ustanovljeno je da isti nije postigao svoju svrhu, te je u srpnju 2018.godine usvojen novi Pravilnik za utvrđivanje stimulativnog dijela plaće radnika u teritorijalnim organizacijskim jedinicama, koji je sa primjenom započeo 1.10.2018.godine.</w:t>
      </w:r>
    </w:p>
    <w:p w:rsidR="00512649" w:rsidRDefault="00512649" w:rsidP="00EB62DF">
      <w:pPr>
        <w:pStyle w:val="ListParagraph"/>
        <w:jc w:val="both"/>
      </w:pPr>
    </w:p>
    <w:p w:rsidR="00512649" w:rsidRDefault="00512649" w:rsidP="00EB62DF">
      <w:pPr>
        <w:pStyle w:val="ListParagraph"/>
        <w:numPr>
          <w:ilvl w:val="0"/>
          <w:numId w:val="17"/>
        </w:numPr>
        <w:jc w:val="both"/>
      </w:pPr>
      <w:r>
        <w:t xml:space="preserve">U </w:t>
      </w:r>
      <w:r w:rsidR="00333AB2">
        <w:t xml:space="preserve">cilju postizanja povećanja poslovne uspješnosti Hrvatske Lutrije, u </w:t>
      </w:r>
      <w:r>
        <w:t xml:space="preserve">travnju 2018.godine </w:t>
      </w:r>
      <w:r w:rsidR="00CC13BE">
        <w:t>usvojen je</w:t>
      </w:r>
      <w:r>
        <w:t xml:space="preserve"> novi Pravilnik o organizaciji Društva i sistematizaciji radnih mjesta</w:t>
      </w:r>
      <w:r w:rsidR="00CC13BE">
        <w:t xml:space="preserve">. </w:t>
      </w:r>
    </w:p>
    <w:p w:rsidR="004C0EAD" w:rsidRDefault="004C0EAD" w:rsidP="00EB62DF">
      <w:pPr>
        <w:pStyle w:val="ListParagraph"/>
        <w:jc w:val="both"/>
      </w:pPr>
    </w:p>
    <w:p w:rsidR="004C0EAD" w:rsidRDefault="004C0EAD" w:rsidP="00EB62DF">
      <w:pPr>
        <w:pStyle w:val="ListParagraph"/>
        <w:numPr>
          <w:ilvl w:val="0"/>
          <w:numId w:val="17"/>
        </w:numPr>
        <w:jc w:val="both"/>
      </w:pPr>
      <w:r>
        <w:t>U 2018.godini nastavljena je poslovna suradnja Hrvatske Lutrije i tvrtke Intralot potpisom ugovora vezanog za implementaciju nove platforme za igre.</w:t>
      </w:r>
    </w:p>
    <w:p w:rsidR="004C0EAD" w:rsidRDefault="004C0EAD" w:rsidP="00EB62DF">
      <w:pPr>
        <w:pStyle w:val="ListParagraph"/>
        <w:jc w:val="both"/>
      </w:pPr>
    </w:p>
    <w:p w:rsidR="004C0EAD" w:rsidRDefault="004C0EAD" w:rsidP="00EB62DF">
      <w:pPr>
        <w:pStyle w:val="ListParagraph"/>
        <w:numPr>
          <w:ilvl w:val="0"/>
          <w:numId w:val="17"/>
        </w:numPr>
        <w:jc w:val="both"/>
      </w:pPr>
      <w:r>
        <w:t xml:space="preserve">25.7.2018.godine </w:t>
      </w:r>
      <w:r w:rsidR="00B11DC1">
        <w:t xml:space="preserve">Hrvatska Lutrija d.o.o. </w:t>
      </w:r>
      <w:r w:rsidR="00A446DC">
        <w:t>napunila je 45 godina poslovanja, a ta se obljetnica obilježila raznim događajima i aktivnostima u drugoj polovici 2018.godine</w:t>
      </w:r>
    </w:p>
    <w:p w:rsidR="00D32EB7" w:rsidRDefault="00D32EB7" w:rsidP="00D32EB7">
      <w:pPr>
        <w:pStyle w:val="ListParagraph"/>
      </w:pPr>
    </w:p>
    <w:p w:rsidR="00D32EB7" w:rsidRPr="003A5CF4" w:rsidRDefault="00D32EB7" w:rsidP="00D32EB7"/>
    <w:p w:rsidR="000E6264" w:rsidRPr="00174A1D" w:rsidRDefault="00D32EB7" w:rsidP="00E01020">
      <w:pPr>
        <w:pStyle w:val="Heading1"/>
        <w:numPr>
          <w:ilvl w:val="1"/>
          <w:numId w:val="16"/>
        </w:numPr>
        <w:jc w:val="both"/>
        <w:rPr>
          <w:rFonts w:ascii="Calibri" w:hAnsi="Calibri" w:cs="Calibri"/>
          <w:sz w:val="28"/>
          <w:szCs w:val="28"/>
        </w:rPr>
      </w:pPr>
      <w:bookmarkStart w:id="12" w:name="_Toc533660858"/>
      <w:r>
        <w:rPr>
          <w:rFonts w:ascii="Calibri" w:hAnsi="Calibri" w:cs="Calibri"/>
          <w:sz w:val="28"/>
          <w:szCs w:val="28"/>
        </w:rPr>
        <w:t xml:space="preserve">Realizacija strateških </w:t>
      </w:r>
      <w:r w:rsidR="004C0EAD">
        <w:rPr>
          <w:rFonts w:ascii="Calibri" w:hAnsi="Calibri" w:cs="Calibri"/>
          <w:sz w:val="28"/>
          <w:szCs w:val="28"/>
        </w:rPr>
        <w:t xml:space="preserve">inicijativa i </w:t>
      </w:r>
      <w:r>
        <w:rPr>
          <w:rFonts w:ascii="Calibri" w:hAnsi="Calibri" w:cs="Calibri"/>
          <w:sz w:val="28"/>
          <w:szCs w:val="28"/>
        </w:rPr>
        <w:t>projekata u periodu od 2015. do 2018.godine</w:t>
      </w:r>
      <w:bookmarkEnd w:id="12"/>
    </w:p>
    <w:p w:rsidR="00174A1D" w:rsidRDefault="00174A1D" w:rsidP="004E4BB5">
      <w:pPr>
        <w:jc w:val="both"/>
        <w:rPr>
          <w:rFonts w:cs="Calibri"/>
        </w:rPr>
      </w:pPr>
    </w:p>
    <w:p w:rsidR="000F1AD5" w:rsidRDefault="00D32EB7" w:rsidP="00D32EB7">
      <w:pPr>
        <w:tabs>
          <w:tab w:val="left" w:pos="142"/>
          <w:tab w:val="left" w:pos="360"/>
        </w:tabs>
        <w:jc w:val="both"/>
      </w:pPr>
      <w:r w:rsidRPr="00CE1088">
        <w:t xml:space="preserve">U razdoblju od 2013. do 2015. godine Hrvatska Lutrija d.o.o. poduzela je niz aktivnosti utvrđenih Strategijom </w:t>
      </w:r>
      <w:r>
        <w:t xml:space="preserve">razvoja i Planom restrukturiranja </w:t>
      </w:r>
      <w:r w:rsidRPr="00CE1088">
        <w:t>za</w:t>
      </w:r>
      <w:r w:rsidR="00542CF2">
        <w:t xml:space="preserve"> isto</w:t>
      </w:r>
      <w:r w:rsidRPr="00CE1088">
        <w:t xml:space="preserve"> trogodišnje razdoblje. Dio </w:t>
      </w:r>
      <w:r w:rsidRPr="00CE1088">
        <w:lastRenderedPageBreak/>
        <w:t xml:space="preserve">poduzetih aktivnosti je uspješno završen </w:t>
      </w:r>
      <w:r>
        <w:t>u tom periodu, a sa dijelom projekata</w:t>
      </w:r>
      <w:r w:rsidR="000F1AD5">
        <w:t xml:space="preserve"> razvoja proizvoda, odnosno širenja asortimana </w:t>
      </w:r>
      <w:r>
        <w:t>se nastavilo i u 2016</w:t>
      </w:r>
      <w:r w:rsidRPr="00CE1088">
        <w:t>.</w:t>
      </w:r>
      <w:r w:rsidR="000E2F3C">
        <w:t xml:space="preserve"> i 2017.</w:t>
      </w:r>
      <w:r>
        <w:t>godini</w:t>
      </w:r>
      <w:r w:rsidR="000F1AD5">
        <w:t>:</w:t>
      </w:r>
    </w:p>
    <w:p w:rsidR="000F1AD5" w:rsidRDefault="000F1AD5" w:rsidP="009C7C8C">
      <w:pPr>
        <w:pStyle w:val="ListParagraph"/>
        <w:numPr>
          <w:ilvl w:val="0"/>
          <w:numId w:val="18"/>
        </w:numPr>
        <w:tabs>
          <w:tab w:val="left" w:pos="142"/>
          <w:tab w:val="left" w:pos="360"/>
        </w:tabs>
        <w:jc w:val="both"/>
      </w:pPr>
      <w:r>
        <w:t>U segmentu lutrijskih igara</w:t>
      </w:r>
    </w:p>
    <w:p w:rsidR="000F1AD5" w:rsidRDefault="000F1AD5" w:rsidP="00D32EB7">
      <w:pPr>
        <w:tabs>
          <w:tab w:val="left" w:pos="142"/>
          <w:tab w:val="left" w:pos="360"/>
        </w:tabs>
        <w:jc w:val="both"/>
      </w:pPr>
      <w:r>
        <w:t>Redizajn igre Loto 7/39 – izmjenama u igri, uvođenjem novih vrsta dobitaka i „zlatne kuglice“ povećala se atraktivnost igre, broj vrsta dobitaka, kao i iznosi pojedinih dobitaka</w:t>
      </w:r>
    </w:p>
    <w:p w:rsidR="000E2F3C" w:rsidRDefault="000E2F3C" w:rsidP="00D32EB7">
      <w:pPr>
        <w:tabs>
          <w:tab w:val="left" w:pos="142"/>
          <w:tab w:val="left" w:pos="360"/>
        </w:tabs>
        <w:jc w:val="both"/>
      </w:pPr>
      <w:r>
        <w:t>HLPOS srećke – širenjem funkcionalnosti kod poslovnih partnera</w:t>
      </w:r>
    </w:p>
    <w:p w:rsidR="000E2F3C" w:rsidRDefault="000E2F3C" w:rsidP="00D32EB7">
      <w:pPr>
        <w:tabs>
          <w:tab w:val="left" w:pos="142"/>
          <w:tab w:val="left" w:pos="360"/>
        </w:tabs>
        <w:jc w:val="both"/>
      </w:pPr>
      <w:r>
        <w:t>Moja igra – omogućavanje unaprijed definiranih kombinacija brojeva na prodajnim mjestima HL-a i kod poslovnih partnera.</w:t>
      </w:r>
    </w:p>
    <w:p w:rsidR="000E2F3C" w:rsidRDefault="000E2F3C" w:rsidP="009C7C8C">
      <w:pPr>
        <w:pStyle w:val="ListParagraph"/>
        <w:numPr>
          <w:ilvl w:val="0"/>
          <w:numId w:val="18"/>
        </w:numPr>
        <w:tabs>
          <w:tab w:val="left" w:pos="142"/>
          <w:tab w:val="left" w:pos="360"/>
        </w:tabs>
        <w:jc w:val="both"/>
      </w:pPr>
      <w:r>
        <w:t>U segmentu klađenja</w:t>
      </w:r>
    </w:p>
    <w:p w:rsidR="000E2F3C" w:rsidRDefault="000E2F3C" w:rsidP="00D32EB7">
      <w:pPr>
        <w:tabs>
          <w:tab w:val="left" w:pos="142"/>
          <w:tab w:val="left" w:pos="360"/>
        </w:tabs>
        <w:jc w:val="both"/>
      </w:pPr>
      <w:r>
        <w:t>Razvoj mreže</w:t>
      </w:r>
      <w:r w:rsidR="00542CF2">
        <w:t xml:space="preserve"> samoposlužnih terminala</w:t>
      </w:r>
      <w:r>
        <w:t xml:space="preserve"> (HL Box)</w:t>
      </w:r>
    </w:p>
    <w:p w:rsidR="000E2F3C" w:rsidRDefault="000E2F3C" w:rsidP="00D32EB7">
      <w:pPr>
        <w:tabs>
          <w:tab w:val="left" w:pos="142"/>
          <w:tab w:val="left" w:pos="360"/>
        </w:tabs>
        <w:jc w:val="both"/>
      </w:pPr>
      <w:r>
        <w:t>Klađenje uživo u prodajnoj mreži – mogućnost odigravanja igara klađenja u realnom vremenu na prodajnim mjestima Hrvatske Lutrije d.o.o.</w:t>
      </w:r>
    </w:p>
    <w:p w:rsidR="000E2F3C" w:rsidRDefault="000E2F3C" w:rsidP="00D32EB7">
      <w:pPr>
        <w:tabs>
          <w:tab w:val="left" w:pos="142"/>
          <w:tab w:val="left" w:pos="360"/>
        </w:tabs>
        <w:jc w:val="both"/>
      </w:pPr>
      <w:r>
        <w:t>Nove virtualne igre klađenja – nabavom i implementacijom virtualnih igara</w:t>
      </w:r>
    </w:p>
    <w:p w:rsidR="00871EE7" w:rsidRDefault="00871EE7" w:rsidP="009C7C8C">
      <w:pPr>
        <w:pStyle w:val="ListParagraph"/>
        <w:numPr>
          <w:ilvl w:val="0"/>
          <w:numId w:val="18"/>
        </w:numPr>
        <w:tabs>
          <w:tab w:val="left" w:pos="142"/>
          <w:tab w:val="left" w:pos="360"/>
        </w:tabs>
        <w:jc w:val="both"/>
      </w:pPr>
      <w:r>
        <w:t>U segmentu igara na sreću u casinima i automatima</w:t>
      </w:r>
    </w:p>
    <w:p w:rsidR="00871EE7" w:rsidRDefault="00871EE7" w:rsidP="00D32EB7">
      <w:pPr>
        <w:tabs>
          <w:tab w:val="left" w:pos="142"/>
          <w:tab w:val="left" w:pos="360"/>
        </w:tabs>
        <w:jc w:val="both"/>
      </w:pPr>
      <w:r>
        <w:t>Razvoj mreže automata na prodajnim mjestima – postavljanjem automata za igre na sreću na prodajna mjesta povećala se konkurentnost Hrvatske Lutrije na tržištu igara na sreću</w:t>
      </w:r>
    </w:p>
    <w:p w:rsidR="00871EE7" w:rsidRDefault="00871EE7" w:rsidP="00D32EB7">
      <w:pPr>
        <w:tabs>
          <w:tab w:val="left" w:pos="142"/>
          <w:tab w:val="left" w:pos="360"/>
        </w:tabs>
        <w:jc w:val="both"/>
      </w:pPr>
      <w:r>
        <w:t>Usluge mjenjačnice – omogućavanje</w:t>
      </w:r>
      <w:r w:rsidR="00584023">
        <w:t>m</w:t>
      </w:r>
      <w:r>
        <w:t xml:space="preserve"> uslug</w:t>
      </w:r>
      <w:r w:rsidR="007B1BBF">
        <w:t>e mjenjačkih poslova na dijelu prodajne mreže u casinu i automat klubovima</w:t>
      </w:r>
    </w:p>
    <w:p w:rsidR="00BA26CE" w:rsidRDefault="00BA26CE" w:rsidP="00BA26CE">
      <w:r>
        <w:t xml:space="preserve">iCasino - Početak priređivanja realiziran je u travnju 2015. godine. Nakon što je tijekom Q2 2016. u produkciju pušten online Bingo, </w:t>
      </w:r>
      <w:r w:rsidR="00584023">
        <w:t>nakon čega se</w:t>
      </w:r>
      <w:r>
        <w:t xml:space="preserve"> radilo na njegovom unaprjeđenju. U listopadu 2016. u javnu produkciju pušten je Online Bingo mobile, te napravljen redizajn Online Bingo igara i soba.</w:t>
      </w:r>
    </w:p>
    <w:p w:rsidR="00BA26CE" w:rsidRDefault="00BA26CE" w:rsidP="00D32EB7">
      <w:pPr>
        <w:tabs>
          <w:tab w:val="left" w:pos="142"/>
          <w:tab w:val="left" w:pos="360"/>
        </w:tabs>
        <w:jc w:val="both"/>
      </w:pPr>
    </w:p>
    <w:p w:rsidR="00D32EB7" w:rsidRPr="00CE1088" w:rsidRDefault="00584023" w:rsidP="00D32EB7">
      <w:pPr>
        <w:tabs>
          <w:tab w:val="left" w:pos="142"/>
          <w:tab w:val="left" w:pos="360"/>
        </w:tabs>
        <w:jc w:val="both"/>
      </w:pPr>
      <w:r>
        <w:t>Osim toga, poduzete su</w:t>
      </w:r>
      <w:r w:rsidR="00D34951">
        <w:t xml:space="preserve"> i</w:t>
      </w:r>
      <w:r>
        <w:t xml:space="preserve"> aktivnosti za razvoj marketinga i odnosa s korisnicima kroz restrukturiranje i redizajn web stranica</w:t>
      </w:r>
      <w:r w:rsidR="007C787D">
        <w:t xml:space="preserve"> i aktiviranje profila na društvenim mrežama. Također, poduzete su i mjere i inicijative s ciljem rasta i razvoja poslovanja: </w:t>
      </w:r>
      <w:r w:rsidR="00D32EB7" w:rsidRPr="007C787D">
        <w:t>optimirana je prodajna mreža zatvaranjem nerentabilnih lokacija, proširen je HL POS kanal prodaje, postavljeni automati za igre na sreću na dio prodajnih mjesta.</w:t>
      </w:r>
      <w:r w:rsidR="00D32EB7" w:rsidRPr="00CE1088">
        <w:t xml:space="preserve"> </w:t>
      </w:r>
    </w:p>
    <w:p w:rsidR="00D32EB7" w:rsidRPr="00CE1088" w:rsidRDefault="00D32EB7" w:rsidP="00D32EB7">
      <w:pPr>
        <w:tabs>
          <w:tab w:val="left" w:pos="142"/>
          <w:tab w:val="left" w:pos="360"/>
        </w:tabs>
        <w:jc w:val="both"/>
      </w:pPr>
      <w:r w:rsidRPr="00CE1088">
        <w:t>Provedena je racionalizacija poslovanja, odnosno smanjen je ukupan broj zaposlenih, s radom je započela Služba kontrolinga kao i organizacijska jedinica za upravljanjem rizicima, izrađeni su novi pravilnici o radu te pravilnici o stimulaciji djelatnika.</w:t>
      </w:r>
    </w:p>
    <w:p w:rsidR="00D32EB7" w:rsidRPr="00CE1088" w:rsidRDefault="00D32EB7" w:rsidP="00D32EB7">
      <w:pPr>
        <w:tabs>
          <w:tab w:val="left" w:pos="142"/>
          <w:tab w:val="left" w:pos="360"/>
        </w:tabs>
        <w:jc w:val="both"/>
      </w:pPr>
      <w:r w:rsidRPr="00CE1088">
        <w:t>Prilikom pripreme Strategije za razdoblje od 2016. do 2018. godine analizirani su glavni trendovi i izazovi poslovanja  temeljem podataka za prethodne godine. Na osnovu analiza utvrđeno je da su igre klađenja segment s najvećim udjelom ukupnog tržišta igara na sreću, a slijede segmenti igara na sreću na autom</w:t>
      </w:r>
      <w:r>
        <w:t>atima, casina i lutrijske igre.</w:t>
      </w:r>
    </w:p>
    <w:p w:rsidR="00913387" w:rsidRPr="00913387" w:rsidRDefault="00D32EB7" w:rsidP="00913387">
      <w:pPr>
        <w:tabs>
          <w:tab w:val="left" w:pos="142"/>
        </w:tabs>
        <w:spacing w:after="200" w:line="276" w:lineRule="auto"/>
        <w:jc w:val="both"/>
        <w:rPr>
          <w:rFonts w:eastAsia="Calibri"/>
        </w:rPr>
      </w:pPr>
      <w:r w:rsidRPr="00CE1088">
        <w:rPr>
          <w:rFonts w:eastAsia="Calibri"/>
        </w:rPr>
        <w:lastRenderedPageBreak/>
        <w:t>Za razdoblje od 2016. do 2018. godine Hrvatska Lutrija d.o.o. je u suradnji s vanjskom  konzultantskom tvrtkom izradila dokument „Strategija ra</w:t>
      </w:r>
      <w:r w:rsidR="00913387">
        <w:rPr>
          <w:rFonts w:eastAsia="Calibri"/>
        </w:rPr>
        <w:t xml:space="preserve">zvoja za razdoblje 2016.-2018.“, sukladno kojoj su </w:t>
      </w:r>
      <w:r w:rsidR="00913387" w:rsidRPr="00937FB4">
        <w:rPr>
          <w:rFonts w:cs="Calibri"/>
        </w:rPr>
        <w:t xml:space="preserve">u 2017. godini </w:t>
      </w:r>
      <w:r w:rsidR="00913387">
        <w:rPr>
          <w:rFonts w:cs="Calibri"/>
        </w:rPr>
        <w:t>realizirane aktivnosti u okviru sl</w:t>
      </w:r>
      <w:r w:rsidR="00913387" w:rsidRPr="00937FB4">
        <w:rPr>
          <w:rFonts w:cs="Calibri"/>
        </w:rPr>
        <w:t>jedećih strateških inicijativa:</w:t>
      </w:r>
    </w:p>
    <w:p w:rsidR="00913387" w:rsidRPr="005131DA" w:rsidRDefault="00913387" w:rsidP="00913387">
      <w:pPr>
        <w:jc w:val="both"/>
        <w:rPr>
          <w:rFonts w:cs="Calibri"/>
          <w:highlight w:val="yellow"/>
        </w:rPr>
      </w:pPr>
    </w:p>
    <w:p w:rsidR="00913387" w:rsidRPr="00913387" w:rsidRDefault="00913387" w:rsidP="009C7C8C">
      <w:pPr>
        <w:pStyle w:val="ListParagraph"/>
        <w:numPr>
          <w:ilvl w:val="0"/>
          <w:numId w:val="19"/>
        </w:numPr>
        <w:spacing w:after="0" w:line="240" w:lineRule="auto"/>
        <w:ind w:left="426" w:hanging="426"/>
        <w:jc w:val="both"/>
        <w:rPr>
          <w:rFonts w:cs="Calibri"/>
          <w:b/>
        </w:rPr>
      </w:pPr>
      <w:r w:rsidRPr="00937FB4">
        <w:rPr>
          <w:rFonts w:cs="Calibri"/>
          <w:b/>
        </w:rPr>
        <w:t>Inicijative koje će omogućiti praćenje i unaprjeđenje portfelja proizvoda te upoznavanje igrača kroz uporabu naprednih sustava i alata</w:t>
      </w:r>
      <w:r>
        <w:rPr>
          <w:rFonts w:cs="Calibri"/>
          <w:b/>
        </w:rPr>
        <w:t>:</w:t>
      </w:r>
      <w:r w:rsidRPr="00937FB4">
        <w:rPr>
          <w:rFonts w:cs="Calibri"/>
          <w:b/>
        </w:rPr>
        <w:t xml:space="preserve"> </w:t>
      </w:r>
      <w:r w:rsidRPr="00937FB4">
        <w:rPr>
          <w:rFonts w:cs="Calibri"/>
        </w:rPr>
        <w:t>omoguć</w:t>
      </w:r>
      <w:r w:rsidR="00806E8A">
        <w:rPr>
          <w:rFonts w:cs="Calibri"/>
        </w:rPr>
        <w:t>a</w:t>
      </w:r>
      <w:r w:rsidRPr="00937FB4">
        <w:rPr>
          <w:rFonts w:cs="Calibri"/>
        </w:rPr>
        <w:t xml:space="preserve">vanje uplate Eurojackpota i Lota </w:t>
      </w:r>
      <w:r>
        <w:rPr>
          <w:rFonts w:cs="Calibri"/>
        </w:rPr>
        <w:t>7/39 putem pametnih telefona</w:t>
      </w:r>
    </w:p>
    <w:p w:rsidR="00913387" w:rsidRPr="00937FB4" w:rsidRDefault="00913387" w:rsidP="00913387">
      <w:pPr>
        <w:pStyle w:val="ListParagraph"/>
        <w:spacing w:after="0" w:line="240" w:lineRule="auto"/>
        <w:ind w:left="426"/>
        <w:jc w:val="both"/>
        <w:rPr>
          <w:rFonts w:cs="Calibri"/>
          <w:b/>
        </w:rPr>
      </w:pPr>
      <w:r>
        <w:rPr>
          <w:rFonts w:cs="Calibri"/>
        </w:rPr>
        <w:t>T</w:t>
      </w:r>
      <w:r w:rsidRPr="00937FB4">
        <w:rPr>
          <w:rFonts w:cs="Calibri"/>
        </w:rPr>
        <w:t>ijekom 2016. godine je omogućena uplata za igre E</w:t>
      </w:r>
      <w:r w:rsidR="00D34951">
        <w:rPr>
          <w:rFonts w:cs="Calibri"/>
        </w:rPr>
        <w:t>urojackpota</w:t>
      </w:r>
      <w:r w:rsidRPr="00937FB4">
        <w:rPr>
          <w:rFonts w:cs="Calibri"/>
        </w:rPr>
        <w:t xml:space="preserve"> putem mobitela, dok je za igre Loto 7/39 i Loto 6/45 upl</w:t>
      </w:r>
      <w:r>
        <w:rPr>
          <w:rFonts w:cs="Calibri"/>
        </w:rPr>
        <w:t>ata omogućena u drugoj polovici 2017. godine, a u 2017.godini</w:t>
      </w:r>
      <w:r w:rsidRPr="00937FB4">
        <w:rPr>
          <w:rFonts w:cs="Calibri"/>
        </w:rPr>
        <w:t xml:space="preserve"> omogućena je i uplata sistemske igre Eurojackpota (prodajna mreža, Internet uz mogućnost uplate putem pametnih telefona).</w:t>
      </w:r>
    </w:p>
    <w:p w:rsidR="00913387" w:rsidRPr="005131DA" w:rsidRDefault="00913387" w:rsidP="00913387">
      <w:pPr>
        <w:pStyle w:val="ListParagraph"/>
        <w:spacing w:after="0" w:line="240" w:lineRule="auto"/>
        <w:jc w:val="both"/>
        <w:rPr>
          <w:rFonts w:cs="Calibri"/>
          <w:highlight w:val="yellow"/>
        </w:rPr>
      </w:pPr>
    </w:p>
    <w:p w:rsidR="00913387" w:rsidRPr="00913387" w:rsidRDefault="00913387" w:rsidP="009C7C8C">
      <w:pPr>
        <w:pStyle w:val="ListParagraph"/>
        <w:numPr>
          <w:ilvl w:val="0"/>
          <w:numId w:val="19"/>
        </w:numPr>
        <w:spacing w:after="0" w:line="240" w:lineRule="auto"/>
        <w:ind w:left="426" w:hanging="426"/>
        <w:jc w:val="both"/>
        <w:rPr>
          <w:rFonts w:cs="Calibri"/>
          <w:b/>
        </w:rPr>
      </w:pPr>
      <w:r w:rsidRPr="00937FB4">
        <w:rPr>
          <w:rFonts w:cs="Calibri"/>
          <w:b/>
        </w:rPr>
        <w:t xml:space="preserve">Inicijative koje će osigurati veću učinkovitost prodajne mreže i kanala prodaje kao i veću konkurentnost prodajnih mjesta: </w:t>
      </w:r>
      <w:r w:rsidRPr="00937FB4">
        <w:rPr>
          <w:rFonts w:cs="Calibri"/>
        </w:rPr>
        <w:t xml:space="preserve">digitalizacija prodajne mreže (u tijeku), povećanje tržišnih udjela i rezultata klađenja (u tijeku), uvođenje agencijske ili franšizne prodaje, povećanje učinkovitosti HL prodajne mreže (RO). </w:t>
      </w:r>
    </w:p>
    <w:p w:rsidR="00913387" w:rsidRPr="00913387" w:rsidRDefault="00913387" w:rsidP="00913387">
      <w:pPr>
        <w:spacing w:after="0" w:line="240" w:lineRule="auto"/>
        <w:ind w:left="426"/>
        <w:jc w:val="both"/>
        <w:rPr>
          <w:rFonts w:cs="Calibri"/>
          <w:b/>
        </w:rPr>
      </w:pPr>
      <w:r w:rsidRPr="00913387">
        <w:rPr>
          <w:rFonts w:cs="Calibri"/>
        </w:rPr>
        <w:t>U Q3 2017. godine</w:t>
      </w:r>
      <w:r w:rsidRPr="00913387">
        <w:rPr>
          <w:rFonts w:cs="Calibri"/>
          <w:b/>
        </w:rPr>
        <w:t xml:space="preserve"> </w:t>
      </w:r>
      <w:r w:rsidRPr="00913387">
        <w:rPr>
          <w:rFonts w:cs="Calibri"/>
        </w:rPr>
        <w:t>nastavljeno je postavljanje samoposlužnih terminala</w:t>
      </w:r>
      <w:r w:rsidRPr="00913387">
        <w:rPr>
          <w:rFonts w:cs="Calibri"/>
          <w:b/>
        </w:rPr>
        <w:t xml:space="preserve"> </w:t>
      </w:r>
      <w:r w:rsidRPr="00913387">
        <w:rPr>
          <w:rFonts w:cs="Calibri"/>
        </w:rPr>
        <w:t>HL Box. U Q1 2017. godine  omogućeno  je klađenje uživo na prodajnim mjestima.</w:t>
      </w:r>
    </w:p>
    <w:p w:rsidR="00913387" w:rsidRPr="0011233E" w:rsidRDefault="00913387" w:rsidP="00913387">
      <w:pPr>
        <w:contextualSpacing/>
        <w:jc w:val="both"/>
        <w:rPr>
          <w:rFonts w:cs="Calibri"/>
        </w:rPr>
      </w:pPr>
    </w:p>
    <w:p w:rsidR="00913387" w:rsidRPr="0011233E" w:rsidRDefault="00913387" w:rsidP="009C7C8C">
      <w:pPr>
        <w:pStyle w:val="ListParagraph"/>
        <w:numPr>
          <w:ilvl w:val="0"/>
          <w:numId w:val="19"/>
        </w:numPr>
        <w:spacing w:after="0" w:line="240" w:lineRule="auto"/>
        <w:ind w:left="426" w:hanging="426"/>
        <w:jc w:val="both"/>
        <w:rPr>
          <w:rFonts w:cs="Calibri"/>
        </w:rPr>
      </w:pPr>
      <w:r w:rsidRPr="0011233E">
        <w:rPr>
          <w:rFonts w:cs="Calibri"/>
          <w:b/>
        </w:rPr>
        <w:t>Inicijative koje će osigurati kvalitetnu provedbu projekata i strateških inicijativa, te unaprijediti i ubrzati interne procese</w:t>
      </w:r>
      <w:r>
        <w:rPr>
          <w:rFonts w:cs="Calibri"/>
        </w:rPr>
        <w:t xml:space="preserve"> (u</w:t>
      </w:r>
      <w:r w:rsidRPr="0011233E">
        <w:rPr>
          <w:rFonts w:cs="Calibri"/>
        </w:rPr>
        <w:t>naprjeđenje upravljanja projektima</w:t>
      </w:r>
      <w:r>
        <w:rPr>
          <w:rFonts w:cs="Calibri"/>
        </w:rPr>
        <w:t>, učinkom i razvojem karijera, p</w:t>
      </w:r>
      <w:r w:rsidRPr="0011233E">
        <w:rPr>
          <w:rFonts w:cs="Calibri"/>
        </w:rPr>
        <w:t>rogramsko rješenje za upravljanje osnovnim sredstvima i sitnim inventarom)</w:t>
      </w:r>
      <w:r>
        <w:rPr>
          <w:rFonts w:cs="Calibri"/>
        </w:rPr>
        <w:t>.</w:t>
      </w:r>
    </w:p>
    <w:p w:rsidR="00913387" w:rsidRPr="0011233E" w:rsidRDefault="00913387" w:rsidP="00913387">
      <w:pPr>
        <w:jc w:val="both"/>
        <w:rPr>
          <w:rFonts w:cs="Calibri"/>
        </w:rPr>
      </w:pPr>
    </w:p>
    <w:p w:rsidR="00913387" w:rsidRPr="006C756C" w:rsidRDefault="00913387" w:rsidP="00913387">
      <w:pPr>
        <w:jc w:val="both"/>
        <w:rPr>
          <w:rFonts w:cs="Calibri"/>
        </w:rPr>
      </w:pPr>
      <w:r>
        <w:rPr>
          <w:rFonts w:cs="Calibri"/>
        </w:rPr>
        <w:t>U 2017. godini</w:t>
      </w:r>
      <w:r w:rsidRPr="006C756C">
        <w:rPr>
          <w:rFonts w:cs="Calibri"/>
        </w:rPr>
        <w:t xml:space="preserve"> </w:t>
      </w:r>
      <w:r>
        <w:rPr>
          <w:rFonts w:cs="Calibri"/>
        </w:rPr>
        <w:t>pokrenut</w:t>
      </w:r>
      <w:r w:rsidRPr="006C756C">
        <w:rPr>
          <w:rFonts w:cs="Calibri"/>
        </w:rPr>
        <w:t xml:space="preserve"> je projekt za zamjenu sustava igara u zemaljskoj i online prodaji. </w:t>
      </w:r>
    </w:p>
    <w:p w:rsidR="00913387" w:rsidRPr="006C756C" w:rsidRDefault="00913387" w:rsidP="00913387">
      <w:pPr>
        <w:jc w:val="both"/>
        <w:rPr>
          <w:rFonts w:cs="Calibri"/>
        </w:rPr>
      </w:pPr>
      <w:r w:rsidRPr="006C756C">
        <w:rPr>
          <w:rFonts w:cs="Calibri"/>
        </w:rPr>
        <w:t>Održane su konzultacije sa brojni</w:t>
      </w:r>
      <w:r>
        <w:rPr>
          <w:rFonts w:cs="Calibri"/>
        </w:rPr>
        <w:t xml:space="preserve">m zainteresiranim subjektima te su </w:t>
      </w:r>
      <w:r w:rsidRPr="006C756C">
        <w:rPr>
          <w:rFonts w:cs="Calibri"/>
        </w:rPr>
        <w:t>u procesu RFI („Request for Information“) definiran</w:t>
      </w:r>
      <w:r>
        <w:rPr>
          <w:rFonts w:cs="Calibri"/>
        </w:rPr>
        <w:t xml:space="preserve">i, kako opseg, tako i </w:t>
      </w:r>
      <w:r w:rsidRPr="006C756C">
        <w:rPr>
          <w:rFonts w:cs="Calibri"/>
        </w:rPr>
        <w:t>poslovni model kojim bi Hrvatska Lutrija</w:t>
      </w:r>
      <w:r>
        <w:rPr>
          <w:rFonts w:cs="Calibri"/>
        </w:rPr>
        <w:t xml:space="preserve"> d.o.o.,</w:t>
      </w:r>
      <w:r w:rsidRPr="006C756C">
        <w:rPr>
          <w:rFonts w:cs="Calibri"/>
        </w:rPr>
        <w:t xml:space="preserve"> uz tehnološkog partnera na duži period</w:t>
      </w:r>
      <w:r>
        <w:rPr>
          <w:rFonts w:cs="Calibri"/>
        </w:rPr>
        <w:t>,</w:t>
      </w:r>
      <w:r w:rsidRPr="006C756C">
        <w:rPr>
          <w:rFonts w:cs="Calibri"/>
        </w:rPr>
        <w:t xml:space="preserve"> osigurala potrebna tehnološka rješenja i najbolje svjetske prakse</w:t>
      </w:r>
      <w:r>
        <w:rPr>
          <w:rFonts w:cs="Calibri"/>
        </w:rPr>
        <w:t>. Na taj način</w:t>
      </w:r>
      <w:r w:rsidRPr="006C756C">
        <w:rPr>
          <w:rFonts w:cs="Calibri"/>
        </w:rPr>
        <w:t xml:space="preserve"> bi</w:t>
      </w:r>
      <w:r>
        <w:rPr>
          <w:rFonts w:cs="Calibri"/>
        </w:rPr>
        <w:t xml:space="preserve"> se riješili nedostaci</w:t>
      </w:r>
      <w:r w:rsidRPr="006C756C">
        <w:rPr>
          <w:rFonts w:cs="Calibri"/>
        </w:rPr>
        <w:t xml:space="preserve"> zastarjele tehnološke platforme za igranje</w:t>
      </w:r>
      <w:r>
        <w:rPr>
          <w:rFonts w:cs="Calibri"/>
        </w:rPr>
        <w:t>, uz podršku specijaliziranih stručnjak</w:t>
      </w:r>
      <w:r w:rsidR="00D34951">
        <w:rPr>
          <w:rFonts w:cs="Calibri"/>
        </w:rPr>
        <w:t>a</w:t>
      </w:r>
      <w:r>
        <w:rPr>
          <w:rFonts w:cs="Calibri"/>
        </w:rPr>
        <w:t xml:space="preserve"> od strane partnera, bez dodatnog angažmana vlastitih razvojnih stručnjaka,</w:t>
      </w:r>
      <w:r w:rsidRPr="006C756C">
        <w:rPr>
          <w:rFonts w:cs="Calibri"/>
        </w:rPr>
        <w:t xml:space="preserve"> te tako uhvatila priključak sa konkurencijom u tržišnoj utakmici i zaustavila pad klasičnih lutrijskih igar</w:t>
      </w:r>
      <w:r>
        <w:rPr>
          <w:rFonts w:cs="Calibri"/>
        </w:rPr>
        <w:t xml:space="preserve">a koji ovise o tehnologiji (bez srećaka).  Ugovor </w:t>
      </w:r>
      <w:r w:rsidR="004C0EAD">
        <w:rPr>
          <w:rFonts w:cs="Calibri"/>
        </w:rPr>
        <w:t xml:space="preserve">vezan za implementaciju nove platforme za igre sklopljen je u 2018.godini s tvrtkom Intralot. </w:t>
      </w:r>
    </w:p>
    <w:p w:rsidR="00913387" w:rsidRDefault="00913387" w:rsidP="00913387">
      <w:pPr>
        <w:jc w:val="both"/>
        <w:rPr>
          <w:rFonts w:cs="Calibri"/>
        </w:rPr>
      </w:pPr>
    </w:p>
    <w:p w:rsidR="00913387" w:rsidRDefault="00913387" w:rsidP="00913387">
      <w:pPr>
        <w:jc w:val="both"/>
        <w:rPr>
          <w:rFonts w:cs="Calibri"/>
        </w:rPr>
      </w:pPr>
      <w:r w:rsidRPr="00FE3543">
        <w:rPr>
          <w:rFonts w:cs="Calibri"/>
        </w:rPr>
        <w:t xml:space="preserve">U srpnju 2017. godine Hrvatska Lutrija d.o.o. je s vanjskom konzultantskom tvrtkom KPMG pokrenula izradu nove strategije za naredno </w:t>
      </w:r>
      <w:r>
        <w:rPr>
          <w:rFonts w:cs="Calibri"/>
        </w:rPr>
        <w:t>petogodišnj</w:t>
      </w:r>
      <w:r w:rsidRPr="00FE3543">
        <w:rPr>
          <w:rFonts w:cs="Calibri"/>
        </w:rPr>
        <w:t>e razdoblje te je krajem godine ušla u završnu fazu. Nakon proveden</w:t>
      </w:r>
      <w:r>
        <w:rPr>
          <w:rFonts w:cs="Calibri"/>
        </w:rPr>
        <w:t>e analize strateškog položaja H</w:t>
      </w:r>
      <w:r w:rsidR="00EA4D7C">
        <w:rPr>
          <w:rFonts w:cs="Calibri"/>
        </w:rPr>
        <w:t xml:space="preserve">rvatske </w:t>
      </w:r>
      <w:r>
        <w:rPr>
          <w:rFonts w:cs="Calibri"/>
        </w:rPr>
        <w:t>L</w:t>
      </w:r>
      <w:r w:rsidR="00EA4D7C">
        <w:rPr>
          <w:rFonts w:cs="Calibri"/>
        </w:rPr>
        <w:t>utrije</w:t>
      </w:r>
      <w:r w:rsidRPr="00FE3543">
        <w:rPr>
          <w:rFonts w:cs="Calibri"/>
        </w:rPr>
        <w:t xml:space="preserve"> te analize internog okruženja i učinkovitosti poslovanja kao i analize trendova u industriji igara na sreću </w:t>
      </w:r>
      <w:r w:rsidRPr="00FE3543">
        <w:rPr>
          <w:rFonts w:cs="Calibri"/>
        </w:rPr>
        <w:lastRenderedPageBreak/>
        <w:t>identificirana su područja strateškog fokusa s razrađenim strateškim inicijativama i aktivnostima</w:t>
      </w:r>
      <w:r>
        <w:rPr>
          <w:rFonts w:cs="Calibri"/>
        </w:rPr>
        <w:t>,</w:t>
      </w:r>
      <w:r w:rsidRPr="00FE3543">
        <w:rPr>
          <w:rFonts w:cs="Calibri"/>
        </w:rPr>
        <w:t xml:space="preserve"> u </w:t>
      </w:r>
      <w:r>
        <w:rPr>
          <w:rFonts w:cs="Calibri"/>
        </w:rPr>
        <w:t>veljači</w:t>
      </w:r>
      <w:r w:rsidRPr="00FE3543">
        <w:rPr>
          <w:rFonts w:cs="Calibri"/>
        </w:rPr>
        <w:t xml:space="preserve"> 2018. godine usvojena je Strategija Hrvatske Lutrije d.o.o. za razdoblje 2018.-2022.</w:t>
      </w:r>
    </w:p>
    <w:p w:rsidR="00067BFB" w:rsidRDefault="00EA4D7C" w:rsidP="00913387">
      <w:pPr>
        <w:tabs>
          <w:tab w:val="left" w:pos="2116"/>
        </w:tabs>
        <w:jc w:val="both"/>
        <w:rPr>
          <w:rFonts w:cs="Calibri"/>
        </w:rPr>
      </w:pPr>
      <w:r>
        <w:rPr>
          <w:rFonts w:cs="Calibri"/>
        </w:rPr>
        <w:t>Hrvatska Lutrija kroz svoju djelatnost generira značajna financijska sredstva koja uplaćuje u Državni proračun s osnova naknada za priređivanje igara na sreću i neto dobiti društva, od kojih se 50% izdvaja za potrebe financiranja humanitarnih, sportskih, kulturnih i sličnih organizacija, sukladno članku 8.</w:t>
      </w:r>
      <w:r w:rsidR="00067BFB">
        <w:rPr>
          <w:rFonts w:cs="Calibri"/>
        </w:rPr>
        <w:t xml:space="preserve"> </w:t>
      </w:r>
      <w:r>
        <w:rPr>
          <w:rFonts w:cs="Calibri"/>
        </w:rPr>
        <w:t>Zakona o igrama na sreću.</w:t>
      </w:r>
    </w:p>
    <w:p w:rsidR="00067BFB" w:rsidRDefault="00067BFB" w:rsidP="00913387">
      <w:pPr>
        <w:tabs>
          <w:tab w:val="left" w:pos="2116"/>
        </w:tabs>
        <w:jc w:val="both"/>
        <w:rPr>
          <w:rFonts w:cs="Calibri"/>
        </w:rPr>
      </w:pPr>
      <w:r>
        <w:rPr>
          <w:rFonts w:cs="Calibri"/>
        </w:rPr>
        <w:t>Realizacija navedenih aktivnosti i ciljeva tijekom trogodišnjeg razdoblja od 2016. do 2018. godine utjecala je na:</w:t>
      </w:r>
    </w:p>
    <w:p w:rsidR="00067BFB" w:rsidRPr="00067BFB" w:rsidRDefault="00067BFB" w:rsidP="009C7C8C">
      <w:pPr>
        <w:pStyle w:val="ListParagraph"/>
        <w:numPr>
          <w:ilvl w:val="0"/>
          <w:numId w:val="20"/>
        </w:numPr>
        <w:tabs>
          <w:tab w:val="left" w:pos="2116"/>
        </w:tabs>
        <w:jc w:val="both"/>
        <w:rPr>
          <w:rFonts w:cs="Calibri"/>
        </w:rPr>
      </w:pPr>
      <w:r w:rsidRPr="00067BFB">
        <w:rPr>
          <w:rFonts w:cs="Calibri"/>
        </w:rPr>
        <w:t xml:space="preserve">Povećanje ukupnih prihoda po prosječnoj stopi od </w:t>
      </w:r>
      <w:r w:rsidR="00925AF4">
        <w:rPr>
          <w:rFonts w:cs="Calibri"/>
        </w:rPr>
        <w:t>7,85%</w:t>
      </w:r>
      <w:r w:rsidRPr="00067BFB">
        <w:rPr>
          <w:rFonts w:cs="Calibri"/>
        </w:rPr>
        <w:t xml:space="preserve"> godišnje, u odnosu na baznu 2015.godinu </w:t>
      </w:r>
      <w:r w:rsidRPr="00925AF4">
        <w:rPr>
          <w:rFonts w:cs="Calibri"/>
        </w:rPr>
        <w:t>(Tablica</w:t>
      </w:r>
      <w:r w:rsidR="00925AF4">
        <w:rPr>
          <w:rFonts w:cs="Calibri"/>
        </w:rPr>
        <w:t xml:space="preserve"> 3)</w:t>
      </w:r>
    </w:p>
    <w:p w:rsidR="00D32EB7" w:rsidRDefault="00925AF4" w:rsidP="009C7C8C">
      <w:pPr>
        <w:pStyle w:val="ListParagraph"/>
        <w:numPr>
          <w:ilvl w:val="0"/>
          <w:numId w:val="20"/>
        </w:numPr>
        <w:tabs>
          <w:tab w:val="left" w:pos="2116"/>
        </w:tabs>
        <w:jc w:val="both"/>
        <w:rPr>
          <w:rFonts w:cs="Calibri"/>
        </w:rPr>
      </w:pPr>
      <w:r>
        <w:rPr>
          <w:rFonts w:cs="Calibri"/>
        </w:rPr>
        <w:t>Povećanje ukupnih rashoda po prosječnoj stopi od 7,09% godišnje, u odnosu na baznu 2015.godinu (Tablica 3)</w:t>
      </w:r>
    </w:p>
    <w:p w:rsidR="00925AF4" w:rsidRDefault="00925AF4" w:rsidP="009C7C8C">
      <w:pPr>
        <w:pStyle w:val="ListParagraph"/>
        <w:numPr>
          <w:ilvl w:val="0"/>
          <w:numId w:val="20"/>
        </w:numPr>
        <w:tabs>
          <w:tab w:val="left" w:pos="2116"/>
        </w:tabs>
        <w:jc w:val="both"/>
        <w:rPr>
          <w:rFonts w:cs="Calibri"/>
        </w:rPr>
      </w:pPr>
      <w:r>
        <w:rPr>
          <w:rFonts w:cs="Calibri"/>
        </w:rPr>
        <w:t>Dostizanje bruto dobiti za 2018.godinu od 52,3 mil.kn, prema preliminarnoj procjeni, uz kontinuirani rast iz godine u godinu</w:t>
      </w:r>
    </w:p>
    <w:p w:rsidR="00925AF4" w:rsidRPr="00067BFB" w:rsidRDefault="00925AF4" w:rsidP="009C7C8C">
      <w:pPr>
        <w:pStyle w:val="ListParagraph"/>
        <w:numPr>
          <w:ilvl w:val="0"/>
          <w:numId w:val="20"/>
        </w:numPr>
        <w:tabs>
          <w:tab w:val="left" w:pos="2116"/>
        </w:tabs>
        <w:jc w:val="both"/>
        <w:rPr>
          <w:rFonts w:cs="Calibri"/>
        </w:rPr>
      </w:pPr>
      <w:r>
        <w:rPr>
          <w:rFonts w:cs="Calibri"/>
        </w:rPr>
        <w:t xml:space="preserve">Doprinos Državnom proračunu koji je zabilježio rast </w:t>
      </w:r>
      <w:r w:rsidR="004C42AD">
        <w:rPr>
          <w:rFonts w:cs="Calibri"/>
        </w:rPr>
        <w:t>9,09% prosječno godišnje u odnosu na baznu 2015.godinu</w:t>
      </w:r>
    </w:p>
    <w:p w:rsidR="001F2568" w:rsidRDefault="001F2568" w:rsidP="004E4BB5">
      <w:pPr>
        <w:jc w:val="both"/>
        <w:rPr>
          <w:rFonts w:cs="Calibri"/>
        </w:rPr>
      </w:pPr>
    </w:p>
    <w:p w:rsidR="00913387" w:rsidRPr="001363B1" w:rsidRDefault="001363B1" w:rsidP="00E01020">
      <w:pPr>
        <w:pStyle w:val="Heading1"/>
        <w:numPr>
          <w:ilvl w:val="1"/>
          <w:numId w:val="16"/>
        </w:numPr>
        <w:jc w:val="both"/>
        <w:rPr>
          <w:rFonts w:ascii="Calibri" w:hAnsi="Calibri" w:cs="Calibri"/>
          <w:sz w:val="28"/>
          <w:szCs w:val="28"/>
        </w:rPr>
      </w:pPr>
      <w:bookmarkStart w:id="13" w:name="_Toc533660859"/>
      <w:r w:rsidRPr="001363B1">
        <w:rPr>
          <w:rFonts w:ascii="Calibri" w:hAnsi="Calibri" w:cs="Calibri"/>
          <w:sz w:val="28"/>
          <w:szCs w:val="28"/>
        </w:rPr>
        <w:t>Ostvareni rezultati poslovanja Hrvatske Lutrije d.o.o. za razdoblje od 2015. do 2018. godine</w:t>
      </w:r>
      <w:bookmarkEnd w:id="13"/>
    </w:p>
    <w:p w:rsidR="00913387" w:rsidRDefault="00913387" w:rsidP="004E4BB5">
      <w:pPr>
        <w:jc w:val="both"/>
        <w:rPr>
          <w:rFonts w:cs="Calibri"/>
        </w:rPr>
      </w:pPr>
    </w:p>
    <w:p w:rsidR="00913387" w:rsidRDefault="00B523C8" w:rsidP="004E4BB5">
      <w:pPr>
        <w:jc w:val="both"/>
        <w:rPr>
          <w:rFonts w:cs="Calibri"/>
        </w:rPr>
      </w:pPr>
      <w:r>
        <w:rPr>
          <w:rFonts w:cs="Calibri"/>
        </w:rPr>
        <w:t>U Tablicama 1. i 2. prikazano je kretanje prometa od lutrijskih igara na sreću, klađenja te prodaje roba za razdoblje od 2015. do 2018. godine, kao i kretanje prihoda od igara na sreću na automatima i od igara u casinima za isto promatrano razdoblje.</w:t>
      </w:r>
    </w:p>
    <w:p w:rsidR="001F2568" w:rsidRDefault="001F2568" w:rsidP="004E4BB5">
      <w:pPr>
        <w:jc w:val="both"/>
        <w:rPr>
          <w:rFonts w:cs="Calibri"/>
        </w:rPr>
      </w:pPr>
    </w:p>
    <w:p w:rsidR="00B523C8" w:rsidRDefault="00B523C8" w:rsidP="000B64D6">
      <w:pPr>
        <w:tabs>
          <w:tab w:val="right" w:pos="-3261"/>
          <w:tab w:val="left" w:pos="142"/>
          <w:tab w:val="right" w:pos="8364"/>
        </w:tabs>
        <w:ind w:left="-142"/>
        <w:jc w:val="both"/>
        <w:rPr>
          <w:b/>
          <w:bCs/>
          <w:color w:val="000000"/>
        </w:rPr>
      </w:pPr>
      <w:r w:rsidRPr="000B64D6">
        <w:rPr>
          <w:b/>
          <w:bCs/>
          <w:color w:val="000000"/>
        </w:rPr>
        <w:t>T</w:t>
      </w:r>
      <w:r w:rsidR="000B64D6" w:rsidRPr="000B64D6">
        <w:rPr>
          <w:b/>
          <w:bCs/>
          <w:color w:val="000000"/>
        </w:rPr>
        <w:t xml:space="preserve">ablica 1: </w:t>
      </w:r>
      <w:r w:rsidRPr="000B64D6">
        <w:rPr>
          <w:b/>
          <w:bCs/>
          <w:color w:val="000000"/>
        </w:rPr>
        <w:t>OSTVARENI PROMET OD IGARA NA SREĆU TE PRODAJE ROBA ZA</w:t>
      </w:r>
      <w:r w:rsidR="000B64D6" w:rsidRPr="000B64D6">
        <w:rPr>
          <w:b/>
          <w:bCs/>
          <w:color w:val="000000"/>
        </w:rPr>
        <w:t xml:space="preserve"> RAZDOBLJE OD 2015. DO 2018. GODINE</w:t>
      </w:r>
    </w:p>
    <w:p w:rsidR="000B64D6" w:rsidRPr="000B64D6" w:rsidRDefault="000B64D6" w:rsidP="000B64D6">
      <w:pPr>
        <w:tabs>
          <w:tab w:val="right" w:pos="-3261"/>
          <w:tab w:val="left" w:pos="142"/>
          <w:tab w:val="right" w:pos="8364"/>
        </w:tabs>
        <w:ind w:left="-142"/>
        <w:jc w:val="both"/>
        <w:rPr>
          <w:b/>
          <w:bCs/>
          <w:color w:val="000000"/>
        </w:rPr>
      </w:pPr>
      <w:r w:rsidRPr="000B64D6">
        <w:rPr>
          <w:noProof/>
        </w:rPr>
        <w:drawing>
          <wp:inline distT="0" distB="0" distL="0" distR="0">
            <wp:extent cx="6120765" cy="182230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1822309"/>
                    </a:xfrm>
                    <a:prstGeom prst="rect">
                      <a:avLst/>
                    </a:prstGeom>
                    <a:noFill/>
                    <a:ln>
                      <a:noFill/>
                    </a:ln>
                  </pic:spPr>
                </pic:pic>
              </a:graphicData>
            </a:graphic>
          </wp:inline>
        </w:drawing>
      </w:r>
    </w:p>
    <w:p w:rsidR="00D34951" w:rsidRDefault="00D34951" w:rsidP="000B64D6">
      <w:pPr>
        <w:tabs>
          <w:tab w:val="right" w:pos="-3261"/>
          <w:tab w:val="left" w:pos="142"/>
          <w:tab w:val="right" w:pos="8364"/>
        </w:tabs>
        <w:ind w:left="-142"/>
        <w:jc w:val="both"/>
        <w:rPr>
          <w:b/>
          <w:bCs/>
          <w:color w:val="000000"/>
        </w:rPr>
      </w:pPr>
    </w:p>
    <w:p w:rsidR="00D34951" w:rsidRDefault="00DB2DE7" w:rsidP="000B64D6">
      <w:pPr>
        <w:tabs>
          <w:tab w:val="right" w:pos="-3261"/>
          <w:tab w:val="left" w:pos="142"/>
          <w:tab w:val="right" w:pos="8364"/>
        </w:tabs>
        <w:ind w:left="-142"/>
        <w:jc w:val="both"/>
        <w:rPr>
          <w:rFonts w:cs="Calibri"/>
        </w:rPr>
      </w:pPr>
      <w:r w:rsidRPr="00DB2DE7">
        <w:rPr>
          <w:rFonts w:cs="Calibri"/>
        </w:rPr>
        <w:lastRenderedPageBreak/>
        <w:t>Od igara ne sreću u razdoblju od 2015. do procijenjene 2018. godine ostvaren je prosječni godišnji promet veći od 1,1 milijarde kuna uz prosječnu stopu rasta od 3,06%. Najveći porast prometa se očekuje u 2018. godini, gdje se procjenjuje da će ukupan promet rasti 10,5% u odnosu na ostvarenje 2017. godine; pri tome su lutrijske igre i klađenja podjednako pridonijele tom porastu prometa. Najveći razlog porasta prometa kod lutrijskih igara u 2018. godini ima igra Eurojackpot, dok je kod klađenja najviše utjecalo Svjetsko prvenstvo u nogometu.</w:t>
      </w:r>
    </w:p>
    <w:p w:rsidR="00DB2DE7" w:rsidRDefault="00DB2DE7" w:rsidP="000B64D6">
      <w:pPr>
        <w:tabs>
          <w:tab w:val="right" w:pos="-3261"/>
          <w:tab w:val="left" w:pos="142"/>
          <w:tab w:val="right" w:pos="8364"/>
        </w:tabs>
        <w:ind w:left="-142"/>
        <w:jc w:val="both"/>
        <w:rPr>
          <w:rFonts w:cs="Calibri"/>
        </w:rPr>
      </w:pPr>
    </w:p>
    <w:p w:rsidR="000B64D6" w:rsidRDefault="000B64D6" w:rsidP="000B64D6">
      <w:pPr>
        <w:tabs>
          <w:tab w:val="right" w:pos="-3261"/>
          <w:tab w:val="left" w:pos="142"/>
          <w:tab w:val="right" w:pos="8364"/>
        </w:tabs>
        <w:ind w:left="-142"/>
        <w:jc w:val="both"/>
        <w:rPr>
          <w:b/>
          <w:bCs/>
          <w:color w:val="000000"/>
        </w:rPr>
      </w:pPr>
      <w:r w:rsidRPr="000B64D6">
        <w:rPr>
          <w:b/>
          <w:bCs/>
          <w:color w:val="000000"/>
        </w:rPr>
        <w:t>T</w:t>
      </w:r>
      <w:r>
        <w:rPr>
          <w:b/>
          <w:bCs/>
          <w:color w:val="000000"/>
        </w:rPr>
        <w:t>ablica 2</w:t>
      </w:r>
      <w:r w:rsidRPr="000B64D6">
        <w:rPr>
          <w:b/>
          <w:bCs/>
          <w:color w:val="000000"/>
        </w:rPr>
        <w:t>: OSTVARENI PR</w:t>
      </w:r>
      <w:r w:rsidR="003E205F">
        <w:rPr>
          <w:b/>
          <w:bCs/>
          <w:color w:val="000000"/>
        </w:rPr>
        <w:t>IHOD</w:t>
      </w:r>
      <w:r w:rsidRPr="000B64D6">
        <w:rPr>
          <w:b/>
          <w:bCs/>
          <w:color w:val="000000"/>
        </w:rPr>
        <w:t xml:space="preserve"> OD IGARA NA SREĆU </w:t>
      </w:r>
      <w:r w:rsidR="003E205F">
        <w:rPr>
          <w:b/>
          <w:bCs/>
          <w:color w:val="000000"/>
        </w:rPr>
        <w:t>U CASINIMA I AUTOMAT KLUBOVIMA</w:t>
      </w:r>
      <w:r w:rsidRPr="000B64D6">
        <w:rPr>
          <w:b/>
          <w:bCs/>
          <w:color w:val="000000"/>
        </w:rPr>
        <w:t xml:space="preserve"> ZA RAZDOBLJE OD 2015. DO 2018. GODINE</w:t>
      </w:r>
    </w:p>
    <w:p w:rsidR="00913387" w:rsidRDefault="003E205F" w:rsidP="004E4BB5">
      <w:pPr>
        <w:jc w:val="both"/>
        <w:rPr>
          <w:rFonts w:cs="Calibri"/>
        </w:rPr>
      </w:pPr>
      <w:r w:rsidRPr="003E205F">
        <w:rPr>
          <w:noProof/>
        </w:rPr>
        <w:drawing>
          <wp:inline distT="0" distB="0" distL="0" distR="0">
            <wp:extent cx="6120765" cy="1267602"/>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1267602"/>
                    </a:xfrm>
                    <a:prstGeom prst="rect">
                      <a:avLst/>
                    </a:prstGeom>
                    <a:noFill/>
                    <a:ln>
                      <a:noFill/>
                    </a:ln>
                  </pic:spPr>
                </pic:pic>
              </a:graphicData>
            </a:graphic>
          </wp:inline>
        </w:drawing>
      </w:r>
    </w:p>
    <w:p w:rsidR="00913387" w:rsidRDefault="00913387" w:rsidP="004E4BB5">
      <w:pPr>
        <w:jc w:val="both"/>
        <w:rPr>
          <w:rFonts w:cs="Calibri"/>
        </w:rPr>
      </w:pPr>
    </w:p>
    <w:p w:rsidR="00DB2DE7" w:rsidRPr="00DB2DE7" w:rsidRDefault="00DB2DE7" w:rsidP="00DB2DE7">
      <w:pPr>
        <w:jc w:val="both"/>
        <w:rPr>
          <w:rFonts w:cs="Calibri"/>
        </w:rPr>
      </w:pPr>
      <w:r w:rsidRPr="00DB2DE7">
        <w:rPr>
          <w:rFonts w:cs="Calibri"/>
        </w:rPr>
        <w:t>Prihodi od automata za igre na sreću u zadnje 4 godine bilježe kontinuirani prosječni rast po stopi od 6,81%, prvenstveno zbog širenja mreže automata.</w:t>
      </w:r>
    </w:p>
    <w:p w:rsidR="00DB2DE7" w:rsidRPr="00DB2DE7" w:rsidRDefault="00DB2DE7" w:rsidP="00DB2DE7">
      <w:pPr>
        <w:jc w:val="both"/>
        <w:rPr>
          <w:rFonts w:cs="Calibri"/>
        </w:rPr>
      </w:pPr>
      <w:r w:rsidRPr="00DB2DE7">
        <w:rPr>
          <w:rFonts w:cs="Calibri"/>
        </w:rPr>
        <w:t>Kod prihoda casina, najveći utjecaj na prosječni rast po stopi od 52,5% ima uvođenje iCasina u travnju 2015. godine, koji u 2018. godini bilježi rekordne prihode.</w:t>
      </w:r>
    </w:p>
    <w:p w:rsidR="00913387" w:rsidRDefault="00954304" w:rsidP="004E4BB5">
      <w:pPr>
        <w:jc w:val="both"/>
        <w:rPr>
          <w:rFonts w:cs="Calibri"/>
        </w:rPr>
      </w:pPr>
      <w:r>
        <w:rPr>
          <w:rFonts w:cs="Calibri"/>
        </w:rPr>
        <w:t>U Tablici 3. prikazano je kretanje ostvarenih prihoda i rashoda te dobit Hrvatske Lutrije d.o.o. za razdoblje od 2015. do 2018.godine</w:t>
      </w:r>
    </w:p>
    <w:p w:rsidR="001F2568" w:rsidRDefault="001F2568" w:rsidP="004E4BB5">
      <w:pPr>
        <w:jc w:val="both"/>
        <w:rPr>
          <w:rFonts w:cs="Calibri"/>
        </w:rPr>
      </w:pPr>
    </w:p>
    <w:p w:rsidR="00954304" w:rsidRDefault="00954304" w:rsidP="00954304">
      <w:pPr>
        <w:tabs>
          <w:tab w:val="right" w:pos="-3261"/>
          <w:tab w:val="left" w:pos="142"/>
          <w:tab w:val="right" w:pos="8364"/>
        </w:tabs>
        <w:ind w:left="-142"/>
        <w:jc w:val="both"/>
        <w:rPr>
          <w:b/>
          <w:bCs/>
          <w:color w:val="000000"/>
        </w:rPr>
      </w:pPr>
      <w:r w:rsidRPr="000B64D6">
        <w:rPr>
          <w:b/>
          <w:bCs/>
          <w:color w:val="000000"/>
        </w:rPr>
        <w:t>T</w:t>
      </w:r>
      <w:r>
        <w:rPr>
          <w:b/>
          <w:bCs/>
          <w:color w:val="000000"/>
        </w:rPr>
        <w:t>ablica 3</w:t>
      </w:r>
      <w:r w:rsidRPr="000B64D6">
        <w:rPr>
          <w:b/>
          <w:bCs/>
          <w:color w:val="000000"/>
        </w:rPr>
        <w:t xml:space="preserve">: </w:t>
      </w:r>
      <w:r>
        <w:rPr>
          <w:b/>
          <w:bCs/>
          <w:color w:val="000000"/>
        </w:rPr>
        <w:t>FINANCIJSKI REZULTATI</w:t>
      </w:r>
      <w:r w:rsidRPr="000B64D6">
        <w:rPr>
          <w:b/>
          <w:bCs/>
          <w:color w:val="000000"/>
        </w:rPr>
        <w:t xml:space="preserve"> ZA RAZDOBLJE OD 2015. DO 2018. GODINE</w:t>
      </w:r>
    </w:p>
    <w:p w:rsidR="00954304" w:rsidRDefault="0033227F" w:rsidP="004E4BB5">
      <w:pPr>
        <w:jc w:val="both"/>
        <w:rPr>
          <w:rFonts w:cs="Calibri"/>
        </w:rPr>
      </w:pPr>
      <w:r w:rsidRPr="0033227F">
        <w:rPr>
          <w:noProof/>
        </w:rPr>
        <w:lastRenderedPageBreak/>
        <w:drawing>
          <wp:inline distT="0" distB="0" distL="0" distR="0">
            <wp:extent cx="6120765" cy="5807942"/>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5807942"/>
                    </a:xfrm>
                    <a:prstGeom prst="rect">
                      <a:avLst/>
                    </a:prstGeom>
                    <a:noFill/>
                    <a:ln>
                      <a:noFill/>
                    </a:ln>
                  </pic:spPr>
                </pic:pic>
              </a:graphicData>
            </a:graphic>
          </wp:inline>
        </w:drawing>
      </w:r>
    </w:p>
    <w:p w:rsidR="0033227F" w:rsidRDefault="0033227F" w:rsidP="004E4BB5">
      <w:pPr>
        <w:jc w:val="both"/>
        <w:rPr>
          <w:rFonts w:cs="Calibri"/>
        </w:rPr>
      </w:pPr>
    </w:p>
    <w:p w:rsidR="001F2568" w:rsidRDefault="001F2568" w:rsidP="004E4BB5">
      <w:pPr>
        <w:jc w:val="both"/>
        <w:rPr>
          <w:rFonts w:cs="Calibri"/>
        </w:rPr>
      </w:pPr>
    </w:p>
    <w:p w:rsidR="00DB2DE7" w:rsidRDefault="00DB2DE7" w:rsidP="004E4BB5">
      <w:pPr>
        <w:jc w:val="both"/>
        <w:rPr>
          <w:rFonts w:cs="Calibri"/>
        </w:rPr>
      </w:pPr>
    </w:p>
    <w:p w:rsidR="00DB2DE7" w:rsidRDefault="00DB2DE7" w:rsidP="004E4BB5">
      <w:pPr>
        <w:jc w:val="both"/>
        <w:rPr>
          <w:rFonts w:cs="Calibri"/>
        </w:rPr>
      </w:pPr>
    </w:p>
    <w:p w:rsidR="00DB2DE7" w:rsidRDefault="00DB2DE7" w:rsidP="004E4BB5">
      <w:pPr>
        <w:jc w:val="both"/>
        <w:rPr>
          <w:rFonts w:cs="Calibri"/>
        </w:rPr>
      </w:pPr>
    </w:p>
    <w:p w:rsidR="00CD3AA4" w:rsidRDefault="00CD3AA4" w:rsidP="00CD3AA4">
      <w:pPr>
        <w:jc w:val="both"/>
        <w:rPr>
          <w:rFonts w:cs="Calibri"/>
        </w:rPr>
      </w:pPr>
      <w:r>
        <w:rPr>
          <w:rFonts w:cs="Calibri"/>
        </w:rPr>
        <w:t>U Tablici 4. prikazano je kretanje ukupnih obveza u korist Državnog proračuna za razdoblje od 2015. do 2018.godine, a u Tablici 5. kretanje sredstava za financiranje organizacija</w:t>
      </w:r>
      <w:r w:rsidRPr="00CD3AA4">
        <w:rPr>
          <w:rFonts w:cs="Calibri"/>
        </w:rPr>
        <w:t xml:space="preserve"> </w:t>
      </w:r>
      <w:r>
        <w:rPr>
          <w:rFonts w:cs="Calibri"/>
        </w:rPr>
        <w:t>za razdoblje od 2015. do 2018.godine.</w:t>
      </w:r>
    </w:p>
    <w:p w:rsidR="001F2568" w:rsidRDefault="001F2568" w:rsidP="004E4BB5">
      <w:pPr>
        <w:jc w:val="both"/>
        <w:rPr>
          <w:rFonts w:cs="Calibri"/>
        </w:rPr>
      </w:pPr>
    </w:p>
    <w:p w:rsidR="0033227F" w:rsidRDefault="0033227F" w:rsidP="0033227F">
      <w:pPr>
        <w:tabs>
          <w:tab w:val="right" w:pos="-3261"/>
          <w:tab w:val="left" w:pos="142"/>
          <w:tab w:val="right" w:pos="8364"/>
        </w:tabs>
        <w:ind w:left="-142"/>
        <w:jc w:val="both"/>
        <w:rPr>
          <w:b/>
          <w:bCs/>
          <w:color w:val="000000"/>
        </w:rPr>
      </w:pPr>
      <w:r w:rsidRPr="000B64D6">
        <w:rPr>
          <w:b/>
          <w:bCs/>
          <w:color w:val="000000"/>
        </w:rPr>
        <w:t>T</w:t>
      </w:r>
      <w:r>
        <w:rPr>
          <w:b/>
          <w:bCs/>
          <w:color w:val="000000"/>
        </w:rPr>
        <w:t>ablica 4</w:t>
      </w:r>
      <w:r w:rsidRPr="000B64D6">
        <w:rPr>
          <w:b/>
          <w:bCs/>
          <w:color w:val="000000"/>
        </w:rPr>
        <w:t xml:space="preserve">: </w:t>
      </w:r>
      <w:r>
        <w:rPr>
          <w:b/>
          <w:bCs/>
          <w:color w:val="000000"/>
        </w:rPr>
        <w:t xml:space="preserve">UKUPNE OBVEZE U KORIST DRŽAVNOG PRORAČUNA </w:t>
      </w:r>
      <w:r w:rsidRPr="000B64D6">
        <w:rPr>
          <w:b/>
          <w:bCs/>
          <w:color w:val="000000"/>
        </w:rPr>
        <w:t>ZA RAZDOBLJE OD 2015. DO 2018. GODINE</w:t>
      </w:r>
    </w:p>
    <w:p w:rsidR="0033227F" w:rsidRDefault="0033227F" w:rsidP="004E4BB5">
      <w:pPr>
        <w:jc w:val="both"/>
        <w:rPr>
          <w:rFonts w:cs="Calibri"/>
        </w:rPr>
      </w:pPr>
      <w:r w:rsidRPr="0033227F">
        <w:rPr>
          <w:noProof/>
        </w:rPr>
        <w:lastRenderedPageBreak/>
        <w:drawing>
          <wp:inline distT="0" distB="0" distL="0" distR="0">
            <wp:extent cx="6120765" cy="448011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4480119"/>
                    </a:xfrm>
                    <a:prstGeom prst="rect">
                      <a:avLst/>
                    </a:prstGeom>
                    <a:noFill/>
                    <a:ln>
                      <a:noFill/>
                    </a:ln>
                  </pic:spPr>
                </pic:pic>
              </a:graphicData>
            </a:graphic>
          </wp:inline>
        </w:drawing>
      </w:r>
    </w:p>
    <w:p w:rsidR="00DB2DE7" w:rsidRDefault="00DB2DE7" w:rsidP="004E4BB5">
      <w:pPr>
        <w:jc w:val="both"/>
        <w:rPr>
          <w:rFonts w:cs="Calibri"/>
        </w:rPr>
      </w:pPr>
    </w:p>
    <w:p w:rsidR="0033227F" w:rsidRDefault="0033227F" w:rsidP="0033227F">
      <w:pPr>
        <w:tabs>
          <w:tab w:val="right" w:pos="-3261"/>
          <w:tab w:val="left" w:pos="142"/>
          <w:tab w:val="right" w:pos="8364"/>
        </w:tabs>
        <w:ind w:left="-142"/>
        <w:jc w:val="both"/>
        <w:rPr>
          <w:b/>
          <w:bCs/>
          <w:color w:val="000000"/>
        </w:rPr>
      </w:pPr>
      <w:r w:rsidRPr="000B64D6">
        <w:rPr>
          <w:b/>
          <w:bCs/>
          <w:color w:val="000000"/>
        </w:rPr>
        <w:t>T</w:t>
      </w:r>
      <w:r>
        <w:rPr>
          <w:b/>
          <w:bCs/>
          <w:color w:val="000000"/>
        </w:rPr>
        <w:t>ablica 5</w:t>
      </w:r>
      <w:r w:rsidRPr="000B64D6">
        <w:rPr>
          <w:b/>
          <w:bCs/>
          <w:color w:val="000000"/>
        </w:rPr>
        <w:t xml:space="preserve">: </w:t>
      </w:r>
      <w:r>
        <w:rPr>
          <w:b/>
          <w:bCs/>
          <w:color w:val="000000"/>
        </w:rPr>
        <w:t xml:space="preserve">SREDSTVA ZA FINANCIRANJE ORGANIZACIJA </w:t>
      </w:r>
      <w:r w:rsidRPr="000B64D6">
        <w:rPr>
          <w:b/>
          <w:bCs/>
          <w:color w:val="000000"/>
        </w:rPr>
        <w:t>ZA RAZDOBLJE OD 2015. DO 2018. GODINE</w:t>
      </w:r>
    </w:p>
    <w:p w:rsidR="00913387" w:rsidRDefault="0033227F" w:rsidP="004E4BB5">
      <w:pPr>
        <w:jc w:val="both"/>
        <w:rPr>
          <w:rFonts w:cs="Calibri"/>
        </w:rPr>
      </w:pPr>
      <w:r w:rsidRPr="0033227F">
        <w:rPr>
          <w:noProof/>
        </w:rPr>
        <w:drawing>
          <wp:inline distT="0" distB="0" distL="0" distR="0">
            <wp:extent cx="6120765" cy="2355017"/>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765" cy="2355017"/>
                    </a:xfrm>
                    <a:prstGeom prst="rect">
                      <a:avLst/>
                    </a:prstGeom>
                    <a:noFill/>
                    <a:ln>
                      <a:noFill/>
                    </a:ln>
                  </pic:spPr>
                </pic:pic>
              </a:graphicData>
            </a:graphic>
          </wp:inline>
        </w:drawing>
      </w:r>
    </w:p>
    <w:p w:rsidR="004218BC" w:rsidRPr="00F73D9F" w:rsidRDefault="008F69AB" w:rsidP="00E01020">
      <w:pPr>
        <w:pStyle w:val="Heading1"/>
        <w:numPr>
          <w:ilvl w:val="0"/>
          <w:numId w:val="16"/>
        </w:numPr>
      </w:pPr>
      <w:bookmarkStart w:id="14" w:name="_Toc533660860"/>
      <w:r>
        <w:t>STRATEŠKE INICIJATIVE</w:t>
      </w:r>
      <w:r w:rsidR="00F73D9F" w:rsidRPr="00F73D9F">
        <w:t xml:space="preserve"> ZA RAZDOBLJE OD 2019. DO 2021. GODINE</w:t>
      </w:r>
      <w:bookmarkEnd w:id="14"/>
    </w:p>
    <w:p w:rsidR="009D17F6" w:rsidRDefault="004C1C4C" w:rsidP="00E01020">
      <w:pPr>
        <w:pStyle w:val="Heading1"/>
        <w:numPr>
          <w:ilvl w:val="1"/>
          <w:numId w:val="16"/>
        </w:numPr>
        <w:jc w:val="both"/>
        <w:rPr>
          <w:rFonts w:ascii="Calibri" w:hAnsi="Calibri" w:cs="Calibri"/>
          <w:sz w:val="28"/>
          <w:szCs w:val="28"/>
        </w:rPr>
      </w:pPr>
      <w:bookmarkStart w:id="15" w:name="_Toc533660861"/>
      <w:r>
        <w:rPr>
          <w:rFonts w:ascii="Calibri" w:hAnsi="Calibri" w:cs="Calibri"/>
          <w:sz w:val="28"/>
          <w:szCs w:val="28"/>
        </w:rPr>
        <w:t>Ključna područja strategije</w:t>
      </w:r>
      <w:bookmarkEnd w:id="15"/>
    </w:p>
    <w:p w:rsidR="001135C4" w:rsidRPr="001135C4" w:rsidRDefault="001135C4" w:rsidP="001135C4"/>
    <w:p w:rsidR="009D17F6" w:rsidRPr="007A598F" w:rsidRDefault="00AA3E53" w:rsidP="009D17F6">
      <w:pPr>
        <w:jc w:val="both"/>
        <w:rPr>
          <w:rFonts w:asciiTheme="minorHAnsi" w:hAnsiTheme="minorHAnsi"/>
        </w:rPr>
      </w:pPr>
      <w:r>
        <w:rPr>
          <w:rFonts w:asciiTheme="minorHAnsi" w:hAnsiTheme="minorHAnsi"/>
        </w:rPr>
        <w:lastRenderedPageBreak/>
        <w:t>U procesu definiranja trenutno važeće</w:t>
      </w:r>
      <w:r w:rsidR="009D17F6" w:rsidRPr="007A598F">
        <w:rPr>
          <w:rFonts w:asciiTheme="minorHAnsi" w:hAnsiTheme="minorHAnsi"/>
        </w:rPr>
        <w:t xml:space="preserve"> Strategije</w:t>
      </w:r>
      <w:r>
        <w:rPr>
          <w:rFonts w:asciiTheme="minorHAnsi" w:hAnsiTheme="minorHAnsi"/>
        </w:rPr>
        <w:t xml:space="preserve"> razvoja Hrvatske lutrije</w:t>
      </w:r>
      <w:r w:rsidR="009D17F6" w:rsidRPr="007A598F">
        <w:rPr>
          <w:rFonts w:asciiTheme="minorHAnsi" w:hAnsiTheme="minorHAnsi"/>
        </w:rPr>
        <w:t xml:space="preserve"> </w:t>
      </w:r>
      <w:r>
        <w:rPr>
          <w:rFonts w:asciiTheme="minorHAnsi" w:hAnsiTheme="minorHAnsi"/>
        </w:rPr>
        <w:t>za razdoblje 2018</w:t>
      </w:r>
      <w:r w:rsidR="00355D7B">
        <w:rPr>
          <w:rFonts w:asciiTheme="minorHAnsi" w:hAnsiTheme="minorHAnsi"/>
        </w:rPr>
        <w:t>.</w:t>
      </w:r>
      <w:r>
        <w:rPr>
          <w:rFonts w:asciiTheme="minorHAnsi" w:hAnsiTheme="minorHAnsi"/>
        </w:rPr>
        <w:t>-2022</w:t>
      </w:r>
      <w:r w:rsidR="00355D7B">
        <w:rPr>
          <w:rFonts w:asciiTheme="minorHAnsi" w:hAnsiTheme="minorHAnsi"/>
        </w:rPr>
        <w:t>.godine</w:t>
      </w:r>
      <w:r>
        <w:rPr>
          <w:rFonts w:asciiTheme="minorHAnsi" w:hAnsiTheme="minorHAnsi"/>
        </w:rPr>
        <w:t>, a n</w:t>
      </w:r>
      <w:r w:rsidR="009D17F6" w:rsidRPr="007A598F">
        <w:rPr>
          <w:rFonts w:eastAsia="Calibri"/>
        </w:rPr>
        <w:t xml:space="preserve">akon provedene analize strateškog položaja </w:t>
      </w:r>
      <w:r w:rsidR="00355D7B">
        <w:rPr>
          <w:rFonts w:eastAsia="Calibri"/>
        </w:rPr>
        <w:t>Hrvatske Lutrije</w:t>
      </w:r>
      <w:r w:rsidR="009D17F6" w:rsidRPr="007A598F">
        <w:rPr>
          <w:rFonts w:eastAsia="Calibri"/>
        </w:rPr>
        <w:t xml:space="preserve"> te analize internog okruženja i učinkovitosti poslovanja kao i analize trendova u industriji igara na sreću</w:t>
      </w:r>
      <w:r>
        <w:rPr>
          <w:rFonts w:eastAsia="Calibri"/>
        </w:rPr>
        <w:t>,</w:t>
      </w:r>
      <w:r w:rsidR="009D17F6" w:rsidRPr="007A598F">
        <w:rPr>
          <w:rFonts w:eastAsia="Calibri"/>
        </w:rPr>
        <w:t xml:space="preserve"> </w:t>
      </w:r>
      <w:r w:rsidR="0015762C">
        <w:rPr>
          <w:rFonts w:eastAsia="Calibri"/>
        </w:rPr>
        <w:t>definirana</w:t>
      </w:r>
      <w:r w:rsidR="009D17F6" w:rsidRPr="007A598F">
        <w:rPr>
          <w:rFonts w:eastAsia="Calibri"/>
        </w:rPr>
        <w:t xml:space="preserve"> su četiri </w:t>
      </w:r>
      <w:r w:rsidR="0015762C">
        <w:rPr>
          <w:rFonts w:eastAsia="Calibri"/>
        </w:rPr>
        <w:t xml:space="preserve">ključna </w:t>
      </w:r>
      <w:r w:rsidR="009D17F6" w:rsidRPr="007A598F">
        <w:rPr>
          <w:rFonts w:eastAsia="Calibri"/>
        </w:rPr>
        <w:t xml:space="preserve">područja </w:t>
      </w:r>
      <w:r w:rsidR="009D17F6" w:rsidRPr="007A598F">
        <w:rPr>
          <w:rFonts w:asciiTheme="minorHAnsi" w:hAnsiTheme="minorHAnsi"/>
        </w:rPr>
        <w:t>strateg</w:t>
      </w:r>
      <w:r w:rsidR="0015762C">
        <w:rPr>
          <w:rFonts w:asciiTheme="minorHAnsi" w:hAnsiTheme="minorHAnsi"/>
        </w:rPr>
        <w:t>ije organskog rasta</w:t>
      </w:r>
      <w:r w:rsidR="009D17F6" w:rsidRPr="007A598F">
        <w:rPr>
          <w:rFonts w:asciiTheme="minorHAnsi" w:hAnsiTheme="minorHAnsi"/>
        </w:rPr>
        <w:t xml:space="preserve"> </w:t>
      </w:r>
      <w:r w:rsidR="0015762C">
        <w:rPr>
          <w:rFonts w:asciiTheme="minorHAnsi" w:hAnsiTheme="minorHAnsi"/>
        </w:rPr>
        <w:t>i pripadajuće inicijative kojima će se navedena strategija ostvariti</w:t>
      </w:r>
      <w:r w:rsidR="009D17F6" w:rsidRPr="007A598F">
        <w:rPr>
          <w:rFonts w:asciiTheme="minorHAnsi" w:hAnsiTheme="minorHAnsi"/>
        </w:rPr>
        <w:t>:</w:t>
      </w:r>
    </w:p>
    <w:p w:rsidR="00404E9E" w:rsidRPr="007A598F" w:rsidRDefault="009D17F6" w:rsidP="009C7C8C">
      <w:pPr>
        <w:pStyle w:val="ListParagraph"/>
        <w:numPr>
          <w:ilvl w:val="0"/>
          <w:numId w:val="12"/>
        </w:numPr>
        <w:spacing w:after="0" w:line="240" w:lineRule="auto"/>
        <w:jc w:val="both"/>
        <w:rPr>
          <w:rFonts w:eastAsia="Calibri"/>
        </w:rPr>
      </w:pPr>
      <w:r w:rsidRPr="007A598F">
        <w:rPr>
          <w:rFonts w:asciiTheme="minorHAnsi" w:hAnsiTheme="minorHAnsi"/>
        </w:rPr>
        <w:t>Upravljanje igračima – s fokusom na akviziciji novih igrača, novoj igračkoj platformi te naprednim alatima za upravljanje odnosom s igračima (CRM) te poslovnu inteligenciju (BI)</w:t>
      </w:r>
    </w:p>
    <w:p w:rsidR="00404E9E" w:rsidRPr="007A598F" w:rsidRDefault="009D17F6" w:rsidP="009C7C8C">
      <w:pPr>
        <w:pStyle w:val="ListParagraph"/>
        <w:numPr>
          <w:ilvl w:val="0"/>
          <w:numId w:val="12"/>
        </w:numPr>
        <w:spacing w:after="0" w:line="240" w:lineRule="auto"/>
        <w:jc w:val="both"/>
        <w:rPr>
          <w:rFonts w:eastAsia="Calibri"/>
        </w:rPr>
      </w:pPr>
      <w:r w:rsidRPr="007A598F">
        <w:rPr>
          <w:rFonts w:eastAsia="Calibri"/>
        </w:rPr>
        <w:t>Modernizacija portfelja igara – s fokusom na upravljanje portfeljem svih igara (tržišni i netržišni segment), dizajn novih te redizajn postojećih igara te daljnjim naglaskom na razvoju portfelja i prodaje srećaka</w:t>
      </w:r>
    </w:p>
    <w:p w:rsidR="009D17F6" w:rsidRPr="007A598F" w:rsidRDefault="009D17F6" w:rsidP="009C7C8C">
      <w:pPr>
        <w:pStyle w:val="ListParagraph"/>
        <w:numPr>
          <w:ilvl w:val="0"/>
          <w:numId w:val="12"/>
        </w:numPr>
        <w:spacing w:after="0" w:line="240" w:lineRule="auto"/>
        <w:jc w:val="both"/>
        <w:rPr>
          <w:rFonts w:eastAsia="Calibri"/>
        </w:rPr>
      </w:pPr>
      <w:r w:rsidRPr="007A598F">
        <w:rPr>
          <w:rFonts w:eastAsia="Calibri"/>
        </w:rPr>
        <w:t>Prodaja 2022</w:t>
      </w:r>
      <w:r w:rsidR="0050539F">
        <w:rPr>
          <w:rFonts w:eastAsia="Calibri"/>
        </w:rPr>
        <w:t>.</w:t>
      </w:r>
      <w:r w:rsidRPr="007A598F">
        <w:rPr>
          <w:rFonts w:eastAsia="Calibri"/>
        </w:rPr>
        <w:t xml:space="preserve"> - s fokusom na </w:t>
      </w:r>
      <w:r w:rsidR="0050539F">
        <w:rPr>
          <w:rFonts w:eastAsia="Calibri"/>
        </w:rPr>
        <w:t>modernizaciju, redizajn i br</w:t>
      </w:r>
      <w:r w:rsidR="00BF75B2">
        <w:rPr>
          <w:rFonts w:eastAsia="Calibri"/>
        </w:rPr>
        <w:t>e</w:t>
      </w:r>
      <w:r w:rsidR="0050539F">
        <w:rPr>
          <w:rFonts w:eastAsia="Calibri"/>
        </w:rPr>
        <w:t>ndiranje</w:t>
      </w:r>
      <w:r w:rsidRPr="007A598F">
        <w:rPr>
          <w:rFonts w:eastAsia="Calibri"/>
        </w:rPr>
        <w:t xml:space="preserve"> prodajnih mjesta, razvoj novih poslovnih modela (uključivo franšiza i strateška partnerstva) te daljnji razvoj mreže automat klubova</w:t>
      </w:r>
    </w:p>
    <w:p w:rsidR="009D17F6" w:rsidRPr="007A598F" w:rsidRDefault="009D17F6" w:rsidP="009C7C8C">
      <w:pPr>
        <w:pStyle w:val="ListParagraph"/>
        <w:numPr>
          <w:ilvl w:val="0"/>
          <w:numId w:val="12"/>
        </w:numPr>
        <w:spacing w:after="0" w:line="240" w:lineRule="auto"/>
        <w:jc w:val="both"/>
        <w:rPr>
          <w:rFonts w:eastAsia="Calibri"/>
        </w:rPr>
      </w:pPr>
      <w:r w:rsidRPr="007A598F">
        <w:rPr>
          <w:rFonts w:eastAsia="Calibri"/>
        </w:rPr>
        <w:t>Unapređenje upravljanje ljudskim potencijalima - s fokusom na sustav nagrađivanja, uvođenje upravljanja proizvodima i kanalima te razvoj i zadržavanje zaposlenika.</w:t>
      </w:r>
    </w:p>
    <w:p w:rsidR="00AA11A1" w:rsidRDefault="00AA11A1" w:rsidP="009D17F6">
      <w:pPr>
        <w:jc w:val="both"/>
        <w:rPr>
          <w:rFonts w:asciiTheme="minorHAnsi" w:hAnsiTheme="minorHAnsi"/>
        </w:rPr>
      </w:pPr>
    </w:p>
    <w:p w:rsidR="002F7FBB" w:rsidRPr="007A598F" w:rsidRDefault="002F7FBB" w:rsidP="009D17F6">
      <w:pPr>
        <w:jc w:val="both"/>
        <w:rPr>
          <w:rFonts w:asciiTheme="minorHAnsi" w:hAnsiTheme="minorHAnsi"/>
        </w:rPr>
      </w:pPr>
    </w:p>
    <w:p w:rsidR="00404E9E" w:rsidRDefault="00404E9E" w:rsidP="00E01020">
      <w:pPr>
        <w:pStyle w:val="Heading1"/>
        <w:numPr>
          <w:ilvl w:val="2"/>
          <w:numId w:val="16"/>
        </w:numPr>
        <w:jc w:val="both"/>
        <w:rPr>
          <w:rFonts w:ascii="Calibri" w:hAnsi="Calibri" w:cs="Calibri"/>
          <w:sz w:val="28"/>
          <w:szCs w:val="28"/>
        </w:rPr>
      </w:pPr>
      <w:bookmarkStart w:id="16" w:name="_Toc533660862"/>
      <w:r w:rsidRPr="007A598F">
        <w:rPr>
          <w:rFonts w:ascii="Calibri" w:hAnsi="Calibri" w:cs="Calibri"/>
          <w:sz w:val="28"/>
          <w:szCs w:val="28"/>
        </w:rPr>
        <w:t>Upravljanje igračima</w:t>
      </w:r>
      <w:bookmarkEnd w:id="16"/>
    </w:p>
    <w:p w:rsidR="00D34951" w:rsidRPr="00D34951" w:rsidRDefault="00D34951" w:rsidP="00D34951"/>
    <w:p w:rsidR="00132D30" w:rsidRDefault="00404E9E" w:rsidP="00404E9E">
      <w:pPr>
        <w:jc w:val="both"/>
        <w:rPr>
          <w:rFonts w:asciiTheme="minorHAnsi" w:hAnsiTheme="minorHAnsi"/>
        </w:rPr>
      </w:pPr>
      <w:r w:rsidRPr="007A598F">
        <w:rPr>
          <w:rFonts w:asciiTheme="minorHAnsi" w:hAnsiTheme="minorHAnsi"/>
        </w:rPr>
        <w:t xml:space="preserve">S obzirom na trend značajnog smanjenja broja aktivnih igrača potrebno je promijeniti fokus/paradigmu s postojećih igrača i igara na akviziciju (ne)igrača te </w:t>
      </w:r>
      <w:r w:rsidR="00132D30">
        <w:rPr>
          <w:rFonts w:asciiTheme="minorHAnsi" w:hAnsiTheme="minorHAnsi"/>
        </w:rPr>
        <w:t>na povremene igrače i nove igre.</w:t>
      </w:r>
    </w:p>
    <w:p w:rsidR="00404E9E" w:rsidRPr="007A598F" w:rsidRDefault="00404E9E" w:rsidP="00404E9E">
      <w:pPr>
        <w:jc w:val="both"/>
        <w:rPr>
          <w:rFonts w:asciiTheme="minorHAnsi" w:hAnsiTheme="minorHAnsi"/>
        </w:rPr>
      </w:pPr>
      <w:r w:rsidRPr="007A598F">
        <w:rPr>
          <w:rFonts w:asciiTheme="minorHAnsi" w:hAnsiTheme="minorHAnsi"/>
        </w:rPr>
        <w:t xml:space="preserve">Strateška grupa inicijativa „Upravljanje igračima” </w:t>
      </w:r>
      <w:r w:rsidR="00132D30">
        <w:rPr>
          <w:rFonts w:asciiTheme="minorHAnsi" w:hAnsiTheme="minorHAnsi"/>
        </w:rPr>
        <w:t xml:space="preserve">u konačnici ima za </w:t>
      </w:r>
      <w:r w:rsidRPr="007A598F">
        <w:rPr>
          <w:rFonts w:asciiTheme="minorHAnsi" w:hAnsiTheme="minorHAnsi"/>
        </w:rPr>
        <w:t>cilj</w:t>
      </w:r>
      <w:r w:rsidR="00132D30">
        <w:rPr>
          <w:rFonts w:asciiTheme="minorHAnsi" w:hAnsiTheme="minorHAnsi"/>
        </w:rPr>
        <w:t xml:space="preserve"> ostvarenje tehnoloških pretpostavki za</w:t>
      </w:r>
      <w:r w:rsidRPr="007A598F">
        <w:rPr>
          <w:rFonts w:asciiTheme="minorHAnsi" w:hAnsiTheme="minorHAnsi"/>
        </w:rPr>
        <w:t xml:space="preserve">: </w:t>
      </w:r>
    </w:p>
    <w:p w:rsidR="00404E9E" w:rsidRPr="007A598F" w:rsidRDefault="00404E9E" w:rsidP="009C7C8C">
      <w:pPr>
        <w:pStyle w:val="ListParagraph"/>
        <w:numPr>
          <w:ilvl w:val="0"/>
          <w:numId w:val="13"/>
        </w:numPr>
        <w:spacing w:after="0" w:line="240" w:lineRule="auto"/>
        <w:jc w:val="both"/>
        <w:rPr>
          <w:rFonts w:asciiTheme="minorHAnsi" w:hAnsiTheme="minorHAnsi"/>
        </w:rPr>
      </w:pPr>
      <w:r w:rsidRPr="007A598F">
        <w:rPr>
          <w:rFonts w:asciiTheme="minorHAnsi" w:hAnsiTheme="minorHAnsi"/>
        </w:rPr>
        <w:t xml:space="preserve">Povećanje broja igrača – kroz akviziciju </w:t>
      </w:r>
      <w:r w:rsidR="00180163">
        <w:rPr>
          <w:rFonts w:asciiTheme="minorHAnsi" w:hAnsiTheme="minorHAnsi"/>
        </w:rPr>
        <w:t>(</w:t>
      </w:r>
      <w:r w:rsidRPr="007A598F">
        <w:rPr>
          <w:rFonts w:asciiTheme="minorHAnsi" w:hAnsiTheme="minorHAnsi"/>
        </w:rPr>
        <w:t>ne</w:t>
      </w:r>
      <w:r w:rsidR="00180163">
        <w:rPr>
          <w:rFonts w:asciiTheme="minorHAnsi" w:hAnsiTheme="minorHAnsi"/>
        </w:rPr>
        <w:t>)</w:t>
      </w:r>
      <w:r w:rsidRPr="007A598F">
        <w:rPr>
          <w:rFonts w:asciiTheme="minorHAnsi" w:hAnsiTheme="minorHAnsi"/>
        </w:rPr>
        <w:t>igrača.</w:t>
      </w:r>
    </w:p>
    <w:p w:rsidR="00404E9E" w:rsidRPr="007A598F" w:rsidRDefault="00404E9E" w:rsidP="009C7C8C">
      <w:pPr>
        <w:pStyle w:val="ListParagraph"/>
        <w:numPr>
          <w:ilvl w:val="0"/>
          <w:numId w:val="13"/>
        </w:numPr>
        <w:spacing w:after="0" w:line="240" w:lineRule="auto"/>
        <w:jc w:val="both"/>
        <w:rPr>
          <w:rFonts w:asciiTheme="minorHAnsi" w:hAnsiTheme="minorHAnsi"/>
        </w:rPr>
      </w:pPr>
      <w:r w:rsidRPr="007A598F">
        <w:rPr>
          <w:rFonts w:asciiTheme="minorHAnsi" w:hAnsiTheme="minorHAnsi"/>
        </w:rPr>
        <w:t>Produženje „životnog vijeka” igranja postojećih igrača.</w:t>
      </w:r>
    </w:p>
    <w:p w:rsidR="00404E9E" w:rsidRPr="007A598F" w:rsidRDefault="00404E9E" w:rsidP="00404E9E">
      <w:pPr>
        <w:jc w:val="both"/>
        <w:rPr>
          <w:rFonts w:asciiTheme="minorHAnsi" w:hAnsiTheme="minorHAnsi"/>
        </w:rPr>
      </w:pPr>
    </w:p>
    <w:p w:rsidR="00404E9E" w:rsidRPr="007A598F" w:rsidRDefault="00404E9E" w:rsidP="00404E9E">
      <w:pPr>
        <w:jc w:val="both"/>
        <w:rPr>
          <w:rFonts w:asciiTheme="minorHAnsi" w:hAnsiTheme="minorHAnsi"/>
        </w:rPr>
      </w:pPr>
      <w:r w:rsidRPr="007A598F">
        <w:rPr>
          <w:rFonts w:asciiTheme="minorHAnsi" w:hAnsiTheme="minorHAnsi"/>
        </w:rPr>
        <w:t>Ova grupa inicijativa uključuje nekoliko međusobno povezanih (ali vremenski odvojivih) cjelina, odnosno elemenata (pretpostavki) koje je potrebno ostvariti u okviru ove inicijative:</w:t>
      </w:r>
    </w:p>
    <w:p w:rsidR="00404E9E" w:rsidRPr="006B4D69" w:rsidRDefault="00404E9E" w:rsidP="009C7C8C">
      <w:pPr>
        <w:pStyle w:val="ListParagraph"/>
        <w:numPr>
          <w:ilvl w:val="0"/>
          <w:numId w:val="14"/>
        </w:numPr>
        <w:spacing w:after="0" w:line="240" w:lineRule="auto"/>
        <w:jc w:val="both"/>
        <w:rPr>
          <w:rFonts w:asciiTheme="minorHAnsi" w:hAnsiTheme="minorHAnsi"/>
        </w:rPr>
      </w:pPr>
      <w:r w:rsidRPr="006B4D69">
        <w:rPr>
          <w:rFonts w:asciiTheme="minorHAnsi" w:hAnsiTheme="minorHAnsi"/>
          <w:b/>
        </w:rPr>
        <w:t>Zamjena tehnološke platforme</w:t>
      </w:r>
      <w:r w:rsidRPr="006B4D69">
        <w:rPr>
          <w:rFonts w:asciiTheme="minorHAnsi" w:hAnsiTheme="minorHAnsi"/>
        </w:rPr>
        <w:t>, što uključuje povezane inicijative:</w:t>
      </w:r>
    </w:p>
    <w:p w:rsidR="006B4D69" w:rsidRPr="006B4D69" w:rsidRDefault="006B4D69" w:rsidP="006B4D69">
      <w:pPr>
        <w:pStyle w:val="ListParagraph"/>
        <w:spacing w:after="0" w:line="240" w:lineRule="auto"/>
        <w:jc w:val="both"/>
        <w:rPr>
          <w:rFonts w:asciiTheme="minorHAnsi" w:hAnsiTheme="minorHAnsi"/>
        </w:rPr>
      </w:pPr>
    </w:p>
    <w:p w:rsidR="00404E9E" w:rsidRPr="007A598F" w:rsidRDefault="00355D7B" w:rsidP="009C7C8C">
      <w:pPr>
        <w:pStyle w:val="ListParagraph"/>
        <w:numPr>
          <w:ilvl w:val="1"/>
          <w:numId w:val="1"/>
        </w:numPr>
        <w:jc w:val="both"/>
        <w:rPr>
          <w:rFonts w:asciiTheme="minorHAnsi" w:hAnsiTheme="minorHAnsi"/>
        </w:rPr>
      </w:pPr>
      <w:r>
        <w:rPr>
          <w:rFonts w:asciiTheme="minorHAnsi" w:hAnsiTheme="minorHAnsi"/>
        </w:rPr>
        <w:t xml:space="preserve">Nova </w:t>
      </w:r>
      <w:r w:rsidR="00404E9E" w:rsidRPr="007A598F">
        <w:rPr>
          <w:rFonts w:asciiTheme="minorHAnsi" w:hAnsiTheme="minorHAnsi"/>
        </w:rPr>
        <w:t>platforma</w:t>
      </w:r>
      <w:r>
        <w:rPr>
          <w:rFonts w:asciiTheme="minorHAnsi" w:hAnsiTheme="minorHAnsi"/>
        </w:rPr>
        <w:t xml:space="preserve"> za igre</w:t>
      </w:r>
    </w:p>
    <w:p w:rsidR="00404E9E" w:rsidRPr="007A598F" w:rsidRDefault="00404E9E" w:rsidP="00AA11A1">
      <w:pPr>
        <w:jc w:val="both"/>
        <w:rPr>
          <w:rFonts w:asciiTheme="minorHAnsi" w:hAnsiTheme="minorHAnsi"/>
        </w:rPr>
      </w:pPr>
      <w:r w:rsidRPr="007A598F">
        <w:rPr>
          <w:rFonts w:asciiTheme="minorHAnsi" w:hAnsiTheme="minorHAnsi"/>
        </w:rPr>
        <w:t>Inicijativa p</w:t>
      </w:r>
      <w:r w:rsidR="00355D7B">
        <w:rPr>
          <w:rFonts w:asciiTheme="minorHAnsi" w:hAnsiTheme="minorHAnsi"/>
        </w:rPr>
        <w:t>redviđa unaprjeđenje postojeće</w:t>
      </w:r>
      <w:r w:rsidRPr="007A598F">
        <w:rPr>
          <w:rFonts w:asciiTheme="minorHAnsi" w:hAnsiTheme="minorHAnsi"/>
        </w:rPr>
        <w:t xml:space="preserve"> platforme </w:t>
      </w:r>
      <w:r w:rsidR="00355D7B">
        <w:rPr>
          <w:rFonts w:asciiTheme="minorHAnsi" w:hAnsiTheme="minorHAnsi"/>
        </w:rPr>
        <w:t xml:space="preserve">za igre </w:t>
      </w:r>
      <w:r w:rsidRPr="007A598F">
        <w:rPr>
          <w:rFonts w:asciiTheme="minorHAnsi" w:hAnsiTheme="minorHAnsi"/>
        </w:rPr>
        <w:t xml:space="preserve">na osnovu </w:t>
      </w:r>
      <w:r w:rsidR="00C37135">
        <w:rPr>
          <w:rFonts w:asciiTheme="minorHAnsi" w:hAnsiTheme="minorHAnsi"/>
        </w:rPr>
        <w:t>modela podjele ulaganja, odgovornosti, rizika i dobiti (</w:t>
      </w:r>
      <w:r w:rsidRPr="007A598F">
        <w:rPr>
          <w:rFonts w:asciiTheme="minorHAnsi" w:hAnsiTheme="minorHAnsi"/>
        </w:rPr>
        <w:t>revenue share princip</w:t>
      </w:r>
      <w:r w:rsidR="00C37135">
        <w:rPr>
          <w:rFonts w:asciiTheme="minorHAnsi" w:hAnsiTheme="minorHAnsi"/>
        </w:rPr>
        <w:t>)</w:t>
      </w:r>
      <w:r w:rsidRPr="007A598F">
        <w:rPr>
          <w:rFonts w:asciiTheme="minorHAnsi" w:hAnsiTheme="minorHAnsi"/>
        </w:rPr>
        <w:t xml:space="preserve"> s odabranim partnerom</w:t>
      </w:r>
      <w:r w:rsidR="00132D30">
        <w:rPr>
          <w:rFonts w:asciiTheme="minorHAnsi" w:hAnsiTheme="minorHAnsi"/>
        </w:rPr>
        <w:t xml:space="preserve"> (INTRALOT)</w:t>
      </w:r>
      <w:r w:rsidRPr="007A598F">
        <w:rPr>
          <w:rFonts w:asciiTheme="minorHAnsi" w:hAnsiTheme="minorHAnsi"/>
        </w:rPr>
        <w:t>.</w:t>
      </w:r>
    </w:p>
    <w:p w:rsidR="00404E9E" w:rsidRPr="007A598F" w:rsidRDefault="00355D7B" w:rsidP="00AA11A1">
      <w:pPr>
        <w:jc w:val="both"/>
        <w:rPr>
          <w:rFonts w:asciiTheme="minorHAnsi" w:hAnsiTheme="minorHAnsi"/>
        </w:rPr>
      </w:pPr>
      <w:r>
        <w:rPr>
          <w:rFonts w:asciiTheme="minorHAnsi" w:hAnsiTheme="minorHAnsi"/>
        </w:rPr>
        <w:lastRenderedPageBreak/>
        <w:t>Cilj uvođenja nove</w:t>
      </w:r>
      <w:r w:rsidR="00404E9E" w:rsidRPr="007A598F">
        <w:rPr>
          <w:rFonts w:asciiTheme="minorHAnsi" w:hAnsiTheme="minorHAnsi"/>
        </w:rPr>
        <w:t xml:space="preserve"> platforme </w:t>
      </w:r>
      <w:r>
        <w:rPr>
          <w:rFonts w:asciiTheme="minorHAnsi" w:hAnsiTheme="minorHAnsi"/>
        </w:rPr>
        <w:t xml:space="preserve">za igre </w:t>
      </w:r>
      <w:r w:rsidR="00404E9E" w:rsidRPr="007A598F">
        <w:rPr>
          <w:rFonts w:asciiTheme="minorHAnsi" w:hAnsiTheme="minorHAnsi"/>
        </w:rPr>
        <w:t>je modernizacija i digitalizacija rješen</w:t>
      </w:r>
      <w:r>
        <w:rPr>
          <w:rFonts w:asciiTheme="minorHAnsi" w:hAnsiTheme="minorHAnsi"/>
        </w:rPr>
        <w:t>ja Hrvatske Lutrije</w:t>
      </w:r>
      <w:r w:rsidR="00404E9E" w:rsidRPr="007A598F">
        <w:rPr>
          <w:rFonts w:asciiTheme="minorHAnsi" w:hAnsiTheme="minorHAnsi"/>
        </w:rPr>
        <w:t xml:space="preserve"> i zamjena starih koja više ne </w:t>
      </w:r>
      <w:r>
        <w:rPr>
          <w:rFonts w:asciiTheme="minorHAnsi" w:hAnsiTheme="minorHAnsi"/>
        </w:rPr>
        <w:t>odgovaraju potrebama igrača i Hrvatske Lutrije</w:t>
      </w:r>
      <w:r w:rsidR="00404E9E" w:rsidRPr="007A598F">
        <w:rPr>
          <w:rFonts w:asciiTheme="minorHAnsi" w:hAnsiTheme="minorHAnsi"/>
        </w:rPr>
        <w:t xml:space="preserve"> po per</w:t>
      </w:r>
      <w:r w:rsidR="00286E66">
        <w:rPr>
          <w:rFonts w:asciiTheme="minorHAnsi" w:hAnsiTheme="minorHAnsi"/>
        </w:rPr>
        <w:t>formansama i funkcionalnostima.</w:t>
      </w:r>
    </w:p>
    <w:p w:rsidR="00404E9E" w:rsidRDefault="00404E9E" w:rsidP="00AA11A1">
      <w:pPr>
        <w:jc w:val="both"/>
      </w:pPr>
      <w:r w:rsidRPr="007A598F">
        <w:rPr>
          <w:rFonts w:asciiTheme="minorHAnsi" w:hAnsiTheme="minorHAnsi"/>
        </w:rPr>
        <w:t>Postojeće rješenje za sustav igara je dijelom kupljeno a dijelom razvijeno interno – ova se kombinacija ne razvija dovoljno brzo uslijed sve veće važnosti tehnologije u industriji igara. Ovaj problem je potenciran tehnološkom zastarjelošću postojećeg e-novčanika i nedostatkom programe</w:t>
      </w:r>
      <w:r w:rsidR="00355D7B">
        <w:rPr>
          <w:rFonts w:asciiTheme="minorHAnsi" w:hAnsiTheme="minorHAnsi"/>
        </w:rPr>
        <w:t>ra na tržištu te nemogućnosti Hrvatske Lutrije</w:t>
      </w:r>
      <w:r w:rsidRPr="007A598F">
        <w:rPr>
          <w:rFonts w:asciiTheme="minorHAnsi" w:hAnsiTheme="minorHAnsi"/>
        </w:rPr>
        <w:t xml:space="preserve"> </w:t>
      </w:r>
      <w:r w:rsidR="00BC4E04">
        <w:rPr>
          <w:rFonts w:asciiTheme="minorHAnsi" w:hAnsiTheme="minorHAnsi"/>
        </w:rPr>
        <w:t xml:space="preserve">da </w:t>
      </w:r>
      <w:r w:rsidRPr="007A598F">
        <w:rPr>
          <w:rFonts w:asciiTheme="minorHAnsi" w:hAnsiTheme="minorHAnsi"/>
        </w:rPr>
        <w:t xml:space="preserve">ih zaposli. Time je zaostatak za konkurencijom sve veći, jer tržište traži sve brže i frekventnije igre i usluge koje je bez snažnog sustava igara teško priređivati. </w:t>
      </w:r>
      <w:r w:rsidR="00592322">
        <w:rPr>
          <w:rFonts w:asciiTheme="minorHAnsi" w:hAnsiTheme="minorHAnsi"/>
        </w:rPr>
        <w:t xml:space="preserve">Dakle, </w:t>
      </w:r>
      <w:r w:rsidR="00592322">
        <w:t>pojavila se potreba da se i tehnološka platforma Hrvatske Lutrije za priređivanje igara unaprijedi novijom verzijom ponajprije software-a, koji bi omogućio i nove napredne mogućnosti koje su se pojavile na tržištu proteklih 15 godina. Pri tome je potrebno što bolje iskoristiti već postojeći hardware i dijelove sustava koji se i dalje mogu efikasno koristiti, a nadomjestiti one koji to više ne mogu i nabaviti nove koje omogućavaju Hrvatskoj Lutriji da uspješno priređuje igre i bude konkurentna na tržištu.</w:t>
      </w:r>
    </w:p>
    <w:p w:rsidR="00592322" w:rsidRPr="00592322" w:rsidRDefault="00592322" w:rsidP="00AE4CC8">
      <w:pPr>
        <w:jc w:val="both"/>
      </w:pPr>
      <w:r w:rsidRPr="00592322">
        <w:rPr>
          <w:rFonts w:asciiTheme="minorHAnsi" w:hAnsiTheme="minorHAnsi"/>
        </w:rPr>
        <w:t>B-On je Intralo</w:t>
      </w:r>
      <w:r>
        <w:rPr>
          <w:rFonts w:asciiTheme="minorHAnsi" w:hAnsiTheme="minorHAnsi"/>
        </w:rPr>
        <w:t xml:space="preserve">tova platforma iz 2010.godine, </w:t>
      </w:r>
      <w:r w:rsidRPr="00592322">
        <w:rPr>
          <w:rFonts w:asciiTheme="minorHAnsi" w:hAnsiTheme="minorHAnsi"/>
        </w:rPr>
        <w:t>sa fokuso</w:t>
      </w:r>
      <w:r>
        <w:rPr>
          <w:rFonts w:asciiTheme="minorHAnsi" w:hAnsiTheme="minorHAnsi"/>
        </w:rPr>
        <w:t>m na lutrijske igre i uplate jednom do dva puta</w:t>
      </w:r>
      <w:r w:rsidRPr="00592322">
        <w:rPr>
          <w:rFonts w:asciiTheme="minorHAnsi" w:hAnsiTheme="minorHAnsi"/>
        </w:rPr>
        <w:t xml:space="preserve"> tjedno. Uvođenjem novih, brzih igara (k</w:t>
      </w:r>
      <w:r w:rsidR="00D73E1A">
        <w:rPr>
          <w:rFonts w:asciiTheme="minorHAnsi" w:hAnsiTheme="minorHAnsi"/>
        </w:rPr>
        <w:t>lađenje uživo, Internet Casino</w:t>
      </w:r>
      <w:r w:rsidRPr="00592322">
        <w:rPr>
          <w:rFonts w:asciiTheme="minorHAnsi" w:hAnsiTheme="minorHAnsi"/>
        </w:rPr>
        <w:t>) došli smo do granica postojećeg sustava igara</w:t>
      </w:r>
      <w:r>
        <w:rPr>
          <w:rFonts w:asciiTheme="minorHAnsi" w:hAnsiTheme="minorHAnsi"/>
        </w:rPr>
        <w:t xml:space="preserve"> u vidu češćih padova sustava i incidenata, </w:t>
      </w:r>
      <w:r>
        <w:t>nemogućnosti implementacije novih igara (npr. virtualne igre), poteškoća pri implementaciji kompleksnijih igara, n</w:t>
      </w:r>
      <w:r w:rsidRPr="00592322">
        <w:t>epostojanj</w:t>
      </w:r>
      <w:r>
        <w:t>a</w:t>
      </w:r>
      <w:r w:rsidRPr="00592322">
        <w:t xml:space="preserve"> analitike i funkcija potrebnih za optimalno vođenje velikog broja igrača i transakcija na internetu (BI, CRM, promocije, akvizicija, retencija, Fraud &amp; Risk management, DOP..)</w:t>
      </w:r>
      <w:r w:rsidR="00EE101F">
        <w:t>. Ujedno, H</w:t>
      </w:r>
      <w:r w:rsidR="00D73E1A">
        <w:t>rvatska Lutrija je bila suočena sa</w:t>
      </w:r>
      <w:r>
        <w:t xml:space="preserve"> v</w:t>
      </w:r>
      <w:r w:rsidR="00D73E1A">
        <w:t>isokom cijenom prilagodbe B-On platforme, dugim</w:t>
      </w:r>
      <w:r w:rsidRPr="00592322">
        <w:t xml:space="preserve"> vr</w:t>
      </w:r>
      <w:r w:rsidR="00D73E1A">
        <w:t>emenom razvoja, kao i visokom ovisnošću</w:t>
      </w:r>
      <w:r w:rsidRPr="00592322">
        <w:t xml:space="preserve"> o partneru Intralotu</w:t>
      </w:r>
      <w:r w:rsidR="00AE4CC8">
        <w:t xml:space="preserve">. Sve to uzrokuje fokus ljudi usmjeren na korekciju grešaka platforme, a ne </w:t>
      </w:r>
      <w:r w:rsidR="00D73E1A">
        <w:t xml:space="preserve">novom </w:t>
      </w:r>
      <w:r w:rsidR="00AE4CC8">
        <w:t>razvoj</w:t>
      </w:r>
      <w:r w:rsidR="00D73E1A">
        <w:t>u</w:t>
      </w:r>
      <w:r w:rsidR="00AE4CC8">
        <w:t>.</w:t>
      </w:r>
    </w:p>
    <w:p w:rsidR="00AE4CC8" w:rsidRDefault="00AE4CC8" w:rsidP="00AE4CC8">
      <w:pPr>
        <w:jc w:val="both"/>
      </w:pPr>
      <w:r>
        <w:t>Nabavom nove platforme ova ograničenja postojećeg sustava će se u najvećoj mjeri ukloniti.</w:t>
      </w:r>
    </w:p>
    <w:p w:rsidR="00AE4CC8" w:rsidRDefault="00AE4CC8" w:rsidP="00AE4CC8">
      <w:pPr>
        <w:jc w:val="both"/>
      </w:pPr>
      <w:r>
        <w:t>Dodatno, proteklih godina jedno od najvećih ograničenja sustava igara je bila prevelika razina izrada sustava po mjeri, umjesto korištenja jednog od međunarodnih pro</w:t>
      </w:r>
      <w:r w:rsidR="009C5AFC">
        <w:t>izvoda</w:t>
      </w:r>
      <w:r>
        <w:t xml:space="preserve"> koji ima prednost da se redovito ažurira. Stoga je do sada bilo potrebno svako unaprjeđenje sus</w:t>
      </w:r>
      <w:r w:rsidR="008325C7">
        <w:t>tava raditi zasebno za sustav Hrvatske Lutrije</w:t>
      </w:r>
      <w:r>
        <w:t xml:space="preserve"> i nije se moglo koristiti redovito i automatsko ažuriranje sustava igara novim funkcijama. Na</w:t>
      </w:r>
      <w:r w:rsidR="008325C7">
        <w:t>bavom novog sustava igara preći će se</w:t>
      </w:r>
      <w:r>
        <w:t xml:space="preserve"> na novi način rada, koji uključuje i k</w:t>
      </w:r>
      <w:r w:rsidR="008325C7">
        <w:t>orak da se i poslovni procesi Hrvatske Lutrije</w:t>
      </w:r>
      <w:r>
        <w:t xml:space="preserve"> moderniziraju</w:t>
      </w:r>
      <w:r w:rsidR="008325C7">
        <w:t xml:space="preserve"> te</w:t>
      </w:r>
      <w:r>
        <w:t xml:space="preserve"> nakon dugog niza godina promijene i na novom sustavu igara počnu odvijati na drugačiji način.</w:t>
      </w:r>
    </w:p>
    <w:p w:rsidR="00592322" w:rsidRPr="00107E4C" w:rsidRDefault="00AE4CC8" w:rsidP="00AA11A1">
      <w:pPr>
        <w:jc w:val="both"/>
      </w:pPr>
      <w:r>
        <w:t xml:space="preserve">Promjenom tehnološke platforme, mijenjaju se i poslovni procesi te </w:t>
      </w:r>
      <w:r w:rsidR="008325C7">
        <w:t xml:space="preserve">će biti </w:t>
      </w:r>
      <w:r>
        <w:t>potrebno napraviti inventuru postojećih procesa, identificirati one koji su nužni i analizirati mogu li se oni raditi na drugačiji način. Pri tome je potrebno kritički promotriti sadašnje poslovne procese u svim sektorima, koji su povijesno prisutni dugi niz godina te ih zamijeniti novima, modernijima na novoj platformi.</w:t>
      </w:r>
    </w:p>
    <w:p w:rsidR="00404E9E" w:rsidRDefault="00911F0E" w:rsidP="00AA11A1">
      <w:pPr>
        <w:jc w:val="both"/>
        <w:rPr>
          <w:rFonts w:asciiTheme="minorHAnsi" w:hAnsiTheme="minorHAnsi"/>
        </w:rPr>
      </w:pPr>
      <w:r>
        <w:rPr>
          <w:rFonts w:asciiTheme="minorHAnsi" w:hAnsiTheme="minorHAnsi"/>
        </w:rPr>
        <w:lastRenderedPageBreak/>
        <w:t>Suradnjom sa reno</w:t>
      </w:r>
      <w:r w:rsidR="00355D7B">
        <w:rPr>
          <w:rFonts w:asciiTheme="minorHAnsi" w:hAnsiTheme="minorHAnsi"/>
        </w:rPr>
        <w:t>miranim tehnološkim partnerom Hrvatska Lutrija</w:t>
      </w:r>
      <w:r>
        <w:rPr>
          <w:rFonts w:asciiTheme="minorHAnsi" w:hAnsiTheme="minorHAnsi"/>
        </w:rPr>
        <w:t xml:space="preserve"> želi ubrzati </w:t>
      </w:r>
      <w:r w:rsidR="00404E9E" w:rsidRPr="007A598F">
        <w:rPr>
          <w:rFonts w:asciiTheme="minorHAnsi" w:hAnsiTheme="minorHAnsi"/>
        </w:rPr>
        <w:t>proces</w:t>
      </w:r>
      <w:r>
        <w:rPr>
          <w:rFonts w:asciiTheme="minorHAnsi" w:hAnsiTheme="minorHAnsi"/>
        </w:rPr>
        <w:t>e</w:t>
      </w:r>
      <w:r w:rsidR="00404E9E" w:rsidRPr="007A598F">
        <w:rPr>
          <w:rFonts w:asciiTheme="minorHAnsi" w:hAnsiTheme="minorHAnsi"/>
        </w:rPr>
        <w:t xml:space="preserve"> razvoja novih igara i u</w:t>
      </w:r>
      <w:r>
        <w:rPr>
          <w:rFonts w:asciiTheme="minorHAnsi" w:hAnsiTheme="minorHAnsi"/>
        </w:rPr>
        <w:t xml:space="preserve">naprjeđenja postojećih igara, </w:t>
      </w:r>
      <w:r w:rsidR="00404E9E" w:rsidRPr="007A598F">
        <w:rPr>
          <w:rFonts w:asciiTheme="minorHAnsi" w:hAnsiTheme="minorHAnsi"/>
        </w:rPr>
        <w:t xml:space="preserve">što je bitan preduvjet za realizaciju prihoda na tržištu. </w:t>
      </w:r>
    </w:p>
    <w:p w:rsidR="003117F1" w:rsidRDefault="006D7596" w:rsidP="003117F1">
      <w:pPr>
        <w:jc w:val="both"/>
        <w:rPr>
          <w:rFonts w:asciiTheme="minorHAnsi" w:hAnsiTheme="minorHAnsi"/>
        </w:rPr>
      </w:pPr>
      <w:r>
        <w:rPr>
          <w:rFonts w:asciiTheme="minorHAnsi" w:hAnsiTheme="minorHAnsi"/>
        </w:rPr>
        <w:t xml:space="preserve">Osim gore navedenog, nova će platforma omogućiti i neke nove funkcionalnosti poput jedinstvenog CRM-a za sve igre i kanale, jedinstvenog programa vjernosti </w:t>
      </w:r>
      <w:r w:rsidR="003117F1">
        <w:rPr>
          <w:rFonts w:asciiTheme="minorHAnsi" w:hAnsiTheme="minorHAnsi"/>
        </w:rPr>
        <w:t>za sve igre i kanale, Datawarehouse, Business Intelligence alate</w:t>
      </w:r>
      <w:r w:rsidR="003117F1" w:rsidRPr="003117F1">
        <w:rPr>
          <w:rFonts w:asciiTheme="minorHAnsi" w:hAnsiTheme="minorHAnsi"/>
        </w:rPr>
        <w:t xml:space="preserve"> za akviziciju, segmentaciju i retenciju igrača</w:t>
      </w:r>
      <w:r w:rsidR="003117F1">
        <w:rPr>
          <w:rFonts w:asciiTheme="minorHAnsi" w:hAnsiTheme="minorHAnsi"/>
        </w:rPr>
        <w:t xml:space="preserve">, kao i alate za </w:t>
      </w:r>
      <w:r w:rsidR="003117F1" w:rsidRPr="003117F1">
        <w:rPr>
          <w:rFonts w:asciiTheme="minorHAnsi" w:hAnsiTheme="minorHAnsi"/>
        </w:rPr>
        <w:t>bonusiranje uključujući „cross-sell”  „up-sell”</w:t>
      </w:r>
      <w:r w:rsidR="003117F1">
        <w:rPr>
          <w:rFonts w:asciiTheme="minorHAnsi" w:hAnsiTheme="minorHAnsi"/>
        </w:rPr>
        <w:t xml:space="preserve">. </w:t>
      </w:r>
    </w:p>
    <w:p w:rsidR="003117F1" w:rsidRDefault="003117F1" w:rsidP="003117F1">
      <w:pPr>
        <w:jc w:val="both"/>
        <w:rPr>
          <w:rFonts w:asciiTheme="minorHAnsi" w:hAnsiTheme="minorHAnsi"/>
        </w:rPr>
      </w:pPr>
      <w:r>
        <w:rPr>
          <w:rFonts w:asciiTheme="minorHAnsi" w:hAnsiTheme="minorHAnsi"/>
        </w:rPr>
        <w:t xml:space="preserve">Također, u segmentu zemaljske prodaje </w:t>
      </w:r>
      <w:r w:rsidR="003E402A">
        <w:rPr>
          <w:rFonts w:asciiTheme="minorHAnsi" w:hAnsiTheme="minorHAnsi"/>
        </w:rPr>
        <w:t xml:space="preserve">očekujemo značajnu investiciju u digitalizaciju poslovnica Hrvatske Lutrije i partnera, implementaciju </w:t>
      </w:r>
      <w:r w:rsidR="003E402A" w:rsidRPr="003E402A">
        <w:rPr>
          <w:rFonts w:asciiTheme="minorHAnsi" w:hAnsiTheme="minorHAnsi"/>
        </w:rPr>
        <w:t>programa konverzije igrača od anonimnih do registriranih</w:t>
      </w:r>
      <w:r w:rsidR="003E402A">
        <w:rPr>
          <w:rFonts w:asciiTheme="minorHAnsi" w:hAnsiTheme="minorHAnsi"/>
        </w:rPr>
        <w:t xml:space="preserve">, kao i CRM sustava </w:t>
      </w:r>
      <w:r w:rsidR="003E402A" w:rsidRPr="003E402A">
        <w:rPr>
          <w:rFonts w:asciiTheme="minorHAnsi" w:hAnsiTheme="minorHAnsi"/>
        </w:rPr>
        <w:t>za upravljanje poslovnim partnerima</w:t>
      </w:r>
      <w:r w:rsidR="003E402A">
        <w:rPr>
          <w:rFonts w:asciiTheme="minorHAnsi" w:hAnsiTheme="minorHAnsi"/>
        </w:rPr>
        <w:t xml:space="preserve">. Osim toga, biti će omogućena dvosmjerna </w:t>
      </w:r>
      <w:r w:rsidR="003E402A" w:rsidRPr="003E402A">
        <w:rPr>
          <w:rFonts w:asciiTheme="minorHAnsi" w:hAnsiTheme="minorHAnsi"/>
        </w:rPr>
        <w:t>komunikacija putem terminala sa prodavačima i poslovnim partnerima</w:t>
      </w:r>
      <w:r w:rsidR="003E402A">
        <w:rPr>
          <w:rFonts w:asciiTheme="minorHAnsi" w:hAnsiTheme="minorHAnsi"/>
        </w:rPr>
        <w:t xml:space="preserve"> i jedinstven izgled svih ekrana u prodajnoj mreži sa mogućnošću</w:t>
      </w:r>
      <w:r w:rsidR="003E402A" w:rsidRPr="003E402A">
        <w:rPr>
          <w:rFonts w:asciiTheme="minorHAnsi" w:hAnsiTheme="minorHAnsi"/>
        </w:rPr>
        <w:t xml:space="preserve"> brze promjene</w:t>
      </w:r>
      <w:r w:rsidR="003E402A">
        <w:rPr>
          <w:rFonts w:asciiTheme="minorHAnsi" w:hAnsiTheme="minorHAnsi"/>
        </w:rPr>
        <w:t>.</w:t>
      </w:r>
    </w:p>
    <w:p w:rsidR="00592322" w:rsidRDefault="003E402A" w:rsidP="00AA11A1">
      <w:pPr>
        <w:jc w:val="both"/>
        <w:rPr>
          <w:rFonts w:asciiTheme="minorHAnsi" w:hAnsiTheme="minorHAnsi"/>
        </w:rPr>
      </w:pPr>
      <w:r>
        <w:rPr>
          <w:rFonts w:asciiTheme="minorHAnsi" w:hAnsiTheme="minorHAnsi"/>
        </w:rPr>
        <w:t xml:space="preserve">Dodatno, u segmentu interaktivne prodaje očekujemo mogućnosti implementiranja naprednih funkcija </w:t>
      </w:r>
      <w:r w:rsidRPr="003E402A">
        <w:rPr>
          <w:rFonts w:asciiTheme="minorHAnsi" w:hAnsiTheme="minorHAnsi"/>
        </w:rPr>
        <w:t>Data mining, BI</w:t>
      </w:r>
      <w:r>
        <w:rPr>
          <w:rFonts w:asciiTheme="minorHAnsi" w:hAnsiTheme="minorHAnsi"/>
        </w:rPr>
        <w:t>, Fraud &amp; Risk management, alata</w:t>
      </w:r>
      <w:r w:rsidRPr="003E402A">
        <w:rPr>
          <w:rFonts w:asciiTheme="minorHAnsi" w:hAnsiTheme="minorHAnsi"/>
        </w:rPr>
        <w:t xml:space="preserve"> za personalizaciju, k</w:t>
      </w:r>
      <w:r>
        <w:rPr>
          <w:rFonts w:asciiTheme="minorHAnsi" w:hAnsiTheme="minorHAnsi"/>
        </w:rPr>
        <w:t>omunikaciju, affiliate partnere te</w:t>
      </w:r>
      <w:r w:rsidRPr="003E402A">
        <w:rPr>
          <w:rFonts w:asciiTheme="minorHAnsi" w:hAnsiTheme="minorHAnsi"/>
        </w:rPr>
        <w:t xml:space="preserve"> uplatu – isplatu na račun</w:t>
      </w:r>
    </w:p>
    <w:p w:rsidR="00911F0E" w:rsidRPr="007A598F" w:rsidRDefault="00911F0E" w:rsidP="00AA11A1">
      <w:pPr>
        <w:jc w:val="both"/>
        <w:rPr>
          <w:rFonts w:asciiTheme="minorHAnsi" w:hAnsiTheme="minorHAnsi"/>
        </w:rPr>
      </w:pPr>
    </w:p>
    <w:p w:rsidR="00404E9E" w:rsidRPr="007A598F" w:rsidRDefault="00404E9E" w:rsidP="009C7C8C">
      <w:pPr>
        <w:pStyle w:val="ListParagraph"/>
        <w:numPr>
          <w:ilvl w:val="1"/>
          <w:numId w:val="1"/>
        </w:numPr>
        <w:jc w:val="both"/>
        <w:rPr>
          <w:rFonts w:asciiTheme="minorHAnsi" w:hAnsiTheme="minorHAnsi"/>
        </w:rPr>
      </w:pPr>
      <w:r w:rsidRPr="007A598F">
        <w:rPr>
          <w:rFonts w:asciiTheme="minorHAnsi" w:hAnsiTheme="minorHAnsi"/>
        </w:rPr>
        <w:t>Tehnološki backbone (okosnica)</w:t>
      </w:r>
    </w:p>
    <w:p w:rsidR="00404E9E" w:rsidRPr="007A598F" w:rsidRDefault="00404E9E" w:rsidP="00AA11A1">
      <w:pPr>
        <w:jc w:val="both"/>
        <w:rPr>
          <w:rFonts w:asciiTheme="minorHAnsi" w:hAnsiTheme="minorHAnsi"/>
        </w:rPr>
      </w:pPr>
      <w:r w:rsidRPr="007A598F">
        <w:rPr>
          <w:rFonts w:asciiTheme="minorHAnsi" w:hAnsiTheme="minorHAnsi"/>
        </w:rPr>
        <w:t>Cilj inicijative je unaprjeđenje postojećih tehnoloških rješenja modernijima (horizontalno i vertikalno skalabilnima) te kontinuirana prilagodba prema zahtjevima nositelja procesa.</w:t>
      </w:r>
    </w:p>
    <w:p w:rsidR="00404E9E" w:rsidRPr="007A598F" w:rsidRDefault="00404E9E" w:rsidP="00AA11A1">
      <w:pPr>
        <w:jc w:val="both"/>
        <w:rPr>
          <w:rFonts w:asciiTheme="minorHAnsi" w:hAnsiTheme="minorHAnsi"/>
        </w:rPr>
      </w:pPr>
      <w:r w:rsidRPr="007A598F">
        <w:rPr>
          <w:rFonts w:asciiTheme="minorHAnsi" w:hAnsiTheme="minorHAnsi"/>
        </w:rPr>
        <w:t>Napredni procesi prodaje digitalnog proizvoda zahtijevaju:</w:t>
      </w:r>
    </w:p>
    <w:p w:rsidR="00404E9E" w:rsidRPr="007A598F" w:rsidRDefault="00404E9E" w:rsidP="009C7C8C">
      <w:pPr>
        <w:numPr>
          <w:ilvl w:val="0"/>
          <w:numId w:val="3"/>
        </w:numPr>
        <w:tabs>
          <w:tab w:val="num" w:pos="720"/>
        </w:tabs>
        <w:spacing w:after="0" w:line="240" w:lineRule="auto"/>
        <w:jc w:val="both"/>
        <w:rPr>
          <w:rFonts w:asciiTheme="minorHAnsi" w:hAnsiTheme="minorHAnsi"/>
        </w:rPr>
      </w:pPr>
      <w:r w:rsidRPr="007A598F">
        <w:rPr>
          <w:rFonts w:asciiTheme="minorHAnsi" w:hAnsiTheme="minorHAnsi"/>
        </w:rPr>
        <w:t>praćenje korisnika od trenutka anonimnog posjetitelja web stranice i/ili prodajnog mjesta do registriranog korisnika s igračkim navikama,</w:t>
      </w:r>
    </w:p>
    <w:p w:rsidR="00404E9E" w:rsidRPr="007A598F" w:rsidRDefault="00404E9E" w:rsidP="009C7C8C">
      <w:pPr>
        <w:numPr>
          <w:ilvl w:val="0"/>
          <w:numId w:val="3"/>
        </w:numPr>
        <w:tabs>
          <w:tab w:val="num" w:pos="720"/>
        </w:tabs>
        <w:spacing w:after="0" w:line="240" w:lineRule="auto"/>
        <w:jc w:val="both"/>
        <w:rPr>
          <w:rFonts w:asciiTheme="minorHAnsi" w:hAnsiTheme="minorHAnsi"/>
        </w:rPr>
      </w:pPr>
      <w:r w:rsidRPr="007A598F">
        <w:rPr>
          <w:rFonts w:asciiTheme="minorHAnsi" w:hAnsiTheme="minorHAnsi"/>
        </w:rPr>
        <w:t>segmentiranje korisnika uz prikaz prilagođenog sadržaja i praćenja promjena u ponašanju,</w:t>
      </w:r>
    </w:p>
    <w:p w:rsidR="00404E9E" w:rsidRPr="007A598F" w:rsidRDefault="00404E9E" w:rsidP="009C7C8C">
      <w:pPr>
        <w:numPr>
          <w:ilvl w:val="0"/>
          <w:numId w:val="3"/>
        </w:numPr>
        <w:tabs>
          <w:tab w:val="num" w:pos="720"/>
        </w:tabs>
        <w:spacing w:after="0" w:line="240" w:lineRule="auto"/>
        <w:jc w:val="both"/>
        <w:rPr>
          <w:rFonts w:asciiTheme="minorHAnsi" w:hAnsiTheme="minorHAnsi"/>
        </w:rPr>
      </w:pPr>
      <w:r w:rsidRPr="007A598F">
        <w:rPr>
          <w:rFonts w:asciiTheme="minorHAnsi" w:hAnsiTheme="minorHAnsi"/>
        </w:rPr>
        <w:t>personalizirano kontaktiranje korisnika,</w:t>
      </w:r>
    </w:p>
    <w:p w:rsidR="00404E9E" w:rsidRPr="007A598F" w:rsidRDefault="00404E9E" w:rsidP="009C7C8C">
      <w:pPr>
        <w:numPr>
          <w:ilvl w:val="0"/>
          <w:numId w:val="3"/>
        </w:numPr>
        <w:tabs>
          <w:tab w:val="num" w:pos="720"/>
        </w:tabs>
        <w:spacing w:after="0" w:line="240" w:lineRule="auto"/>
        <w:jc w:val="both"/>
        <w:rPr>
          <w:rFonts w:asciiTheme="minorHAnsi" w:hAnsiTheme="minorHAnsi"/>
        </w:rPr>
      </w:pPr>
      <w:r w:rsidRPr="007A598F">
        <w:rPr>
          <w:rFonts w:asciiTheme="minorHAnsi" w:hAnsiTheme="minorHAnsi"/>
        </w:rPr>
        <w:t>istovjetnost izgleda proizvoda na svim digitalnim prodajnim vertikalama,</w:t>
      </w:r>
    </w:p>
    <w:p w:rsidR="00404E9E" w:rsidRPr="007A598F" w:rsidRDefault="00404E9E" w:rsidP="009C7C8C">
      <w:pPr>
        <w:numPr>
          <w:ilvl w:val="0"/>
          <w:numId w:val="3"/>
        </w:numPr>
        <w:tabs>
          <w:tab w:val="num" w:pos="720"/>
        </w:tabs>
        <w:spacing w:after="0" w:line="240" w:lineRule="auto"/>
        <w:jc w:val="both"/>
        <w:rPr>
          <w:rFonts w:asciiTheme="minorHAnsi" w:hAnsiTheme="minorHAnsi"/>
        </w:rPr>
      </w:pPr>
      <w:r w:rsidRPr="007A598F">
        <w:rPr>
          <w:rFonts w:asciiTheme="minorHAnsi" w:hAnsiTheme="minorHAnsi"/>
        </w:rPr>
        <w:t>analizu prodaje po raznim segmentima (igrač, kanal, sezonalnost, …), itd.</w:t>
      </w:r>
    </w:p>
    <w:p w:rsidR="00404E9E" w:rsidRPr="007A598F" w:rsidRDefault="00404E9E" w:rsidP="00AA11A1">
      <w:pPr>
        <w:jc w:val="both"/>
        <w:rPr>
          <w:rFonts w:asciiTheme="minorHAnsi" w:hAnsiTheme="minorHAnsi"/>
        </w:rPr>
      </w:pPr>
      <w:r w:rsidRPr="007A598F">
        <w:rPr>
          <w:rFonts w:asciiTheme="minorHAnsi" w:hAnsiTheme="minorHAnsi"/>
        </w:rPr>
        <w:t xml:space="preserve">U tom smislu, ova inicijativa ima za cilj omogućiti učinkovito upravljanje proizvodima u digitalnom okruženju i preduvjet je za implementaciju procesa upravljanja igračima. </w:t>
      </w:r>
    </w:p>
    <w:p w:rsidR="00404E9E" w:rsidRPr="007A598F" w:rsidRDefault="00404E9E" w:rsidP="00404E9E">
      <w:pPr>
        <w:ind w:left="708"/>
        <w:jc w:val="both"/>
        <w:rPr>
          <w:rFonts w:asciiTheme="minorHAnsi" w:hAnsiTheme="minorHAnsi"/>
        </w:rPr>
      </w:pPr>
    </w:p>
    <w:p w:rsidR="00404E9E" w:rsidRPr="006B4D69" w:rsidRDefault="00404E9E" w:rsidP="009C7C8C">
      <w:pPr>
        <w:pStyle w:val="ListParagraph"/>
        <w:numPr>
          <w:ilvl w:val="0"/>
          <w:numId w:val="14"/>
        </w:numPr>
        <w:spacing w:after="0" w:line="240" w:lineRule="auto"/>
        <w:jc w:val="both"/>
        <w:rPr>
          <w:rFonts w:asciiTheme="minorHAnsi" w:hAnsiTheme="minorHAnsi"/>
        </w:rPr>
      </w:pPr>
      <w:r w:rsidRPr="006B4D69">
        <w:rPr>
          <w:rFonts w:asciiTheme="minorHAnsi" w:hAnsiTheme="minorHAnsi"/>
          <w:b/>
          <w:bCs/>
        </w:rPr>
        <w:t>Primjena CRM i BI alata i procesa za akviziciju, segmentaciju i retenciju igrača</w:t>
      </w:r>
      <w:r w:rsidRPr="006B4D69">
        <w:rPr>
          <w:rFonts w:asciiTheme="minorHAnsi" w:hAnsiTheme="minorHAnsi"/>
        </w:rPr>
        <w:t>, što uključuje povezane inicijative:</w:t>
      </w:r>
    </w:p>
    <w:p w:rsidR="00404E9E" w:rsidRPr="007A598F" w:rsidRDefault="00404E9E" w:rsidP="009C7C8C">
      <w:pPr>
        <w:numPr>
          <w:ilvl w:val="0"/>
          <w:numId w:val="2"/>
        </w:numPr>
        <w:tabs>
          <w:tab w:val="num" w:pos="720"/>
        </w:tabs>
        <w:spacing w:after="0" w:line="240" w:lineRule="auto"/>
        <w:jc w:val="both"/>
        <w:rPr>
          <w:rFonts w:asciiTheme="minorHAnsi" w:hAnsiTheme="minorHAnsi"/>
        </w:rPr>
      </w:pPr>
      <w:r w:rsidRPr="007A598F">
        <w:rPr>
          <w:rFonts w:asciiTheme="minorHAnsi" w:hAnsiTheme="minorHAnsi"/>
        </w:rPr>
        <w:t>primjena CRM / BI alata i procesa – ONLINE,</w:t>
      </w:r>
    </w:p>
    <w:p w:rsidR="00404E9E" w:rsidRPr="007A598F" w:rsidRDefault="00404E9E" w:rsidP="009C7C8C">
      <w:pPr>
        <w:numPr>
          <w:ilvl w:val="0"/>
          <w:numId w:val="2"/>
        </w:numPr>
        <w:tabs>
          <w:tab w:val="num" w:pos="720"/>
        </w:tabs>
        <w:spacing w:after="0" w:line="240" w:lineRule="auto"/>
        <w:jc w:val="both"/>
        <w:rPr>
          <w:rFonts w:asciiTheme="minorHAnsi" w:hAnsiTheme="minorHAnsi"/>
        </w:rPr>
      </w:pPr>
      <w:r w:rsidRPr="007A598F">
        <w:rPr>
          <w:rFonts w:asciiTheme="minorHAnsi" w:hAnsiTheme="minorHAnsi"/>
        </w:rPr>
        <w:t>primjena CRM / BI alata i procesa – RETAIL.</w:t>
      </w:r>
    </w:p>
    <w:p w:rsidR="003B7531" w:rsidRPr="007A598F" w:rsidRDefault="00404E9E" w:rsidP="00AA11A1">
      <w:pPr>
        <w:jc w:val="both"/>
        <w:rPr>
          <w:rFonts w:asciiTheme="minorHAnsi" w:hAnsiTheme="minorHAnsi"/>
        </w:rPr>
      </w:pPr>
      <w:r w:rsidRPr="007A598F">
        <w:rPr>
          <w:rFonts w:asciiTheme="minorHAnsi" w:hAnsiTheme="minorHAnsi"/>
        </w:rPr>
        <w:t>Inicijativa „Upravljanje igračima, CRM/BI alati i procesi - primjena”, ima za cilj uspostaviti dugoročni personalizirani odnos s igračima koji će ih potaknuti na veći angažman tijekom cijelog životnog ciklusa igrača – neovisno o kanalu prodaje – OMNICHANNEL</w:t>
      </w:r>
      <w:r w:rsidR="00380725" w:rsidRPr="007A598F">
        <w:rPr>
          <w:rFonts w:asciiTheme="minorHAnsi" w:hAnsiTheme="minorHAnsi"/>
        </w:rPr>
        <w:t>.</w:t>
      </w:r>
    </w:p>
    <w:p w:rsidR="00CF4700" w:rsidRPr="00CF4700" w:rsidRDefault="00CF4700" w:rsidP="00CF4700">
      <w:pPr>
        <w:jc w:val="both"/>
        <w:rPr>
          <w:rFonts w:asciiTheme="minorHAnsi" w:hAnsiTheme="minorHAnsi"/>
        </w:rPr>
      </w:pPr>
      <w:r w:rsidRPr="00CF4700">
        <w:rPr>
          <w:rFonts w:asciiTheme="minorHAnsi" w:hAnsiTheme="minorHAnsi"/>
        </w:rPr>
        <w:t>Akvizicija novih igrača, retencija postojećih, upravljanje životnim ciklusom igrača, planiranje bonusiranja (online i offline, cross-sell i up-s</w:t>
      </w:r>
      <w:r w:rsidR="002003DB">
        <w:rPr>
          <w:rFonts w:asciiTheme="minorHAnsi" w:hAnsiTheme="minorHAnsi"/>
        </w:rPr>
        <w:t>ell) te povezanog oglašavanja, odvijati će se</w:t>
      </w:r>
      <w:r w:rsidRPr="00CF4700">
        <w:rPr>
          <w:rFonts w:asciiTheme="minorHAnsi" w:hAnsiTheme="minorHAnsi"/>
        </w:rPr>
        <w:t xml:space="preserve"> u </w:t>
      </w:r>
      <w:r w:rsidRPr="00CF4700">
        <w:rPr>
          <w:rFonts w:asciiTheme="minorHAnsi" w:hAnsiTheme="minorHAnsi"/>
        </w:rPr>
        <w:lastRenderedPageBreak/>
        <w:t>cilju proširenja baze igrača te zadržavanja postojećih igrača</w:t>
      </w:r>
      <w:r w:rsidR="002003DB">
        <w:rPr>
          <w:rFonts w:asciiTheme="minorHAnsi" w:hAnsiTheme="minorHAnsi"/>
        </w:rPr>
        <w:t>, a</w:t>
      </w:r>
      <w:r w:rsidRPr="00CF4700">
        <w:rPr>
          <w:rFonts w:asciiTheme="minorHAnsi" w:hAnsiTheme="minorHAnsi"/>
        </w:rPr>
        <w:t xml:space="preserve"> pridonijet će i povećanju njihove potrošnje.</w:t>
      </w:r>
    </w:p>
    <w:p w:rsidR="00CF4700" w:rsidRPr="00CF4700" w:rsidRDefault="00CF4700" w:rsidP="00CF4700">
      <w:pPr>
        <w:jc w:val="both"/>
        <w:rPr>
          <w:rFonts w:asciiTheme="minorHAnsi" w:hAnsiTheme="minorHAnsi"/>
        </w:rPr>
      </w:pPr>
      <w:r w:rsidRPr="00CF4700">
        <w:rPr>
          <w:rFonts w:asciiTheme="minorHAnsi" w:hAnsiTheme="minorHAnsi"/>
        </w:rPr>
        <w:t xml:space="preserve">Poseban je </w:t>
      </w:r>
      <w:r w:rsidR="002003DB">
        <w:rPr>
          <w:rFonts w:asciiTheme="minorHAnsi" w:hAnsiTheme="minorHAnsi"/>
        </w:rPr>
        <w:t xml:space="preserve">fokus na akviziciji i retenciji u vidu </w:t>
      </w:r>
      <w:r w:rsidRPr="00CF4700">
        <w:rPr>
          <w:rFonts w:asciiTheme="minorHAnsi" w:hAnsiTheme="minorHAnsi"/>
        </w:rPr>
        <w:t>poticanj</w:t>
      </w:r>
      <w:r w:rsidR="002003DB">
        <w:rPr>
          <w:rFonts w:asciiTheme="minorHAnsi" w:hAnsiTheme="minorHAnsi"/>
        </w:rPr>
        <w:t>a</w:t>
      </w:r>
      <w:r w:rsidRPr="00CF4700">
        <w:rPr>
          <w:rFonts w:asciiTheme="minorHAnsi" w:hAnsiTheme="minorHAnsi"/>
        </w:rPr>
        <w:t xml:space="preserve"> registracije novih igrača</w:t>
      </w:r>
      <w:r w:rsidR="00815F5E">
        <w:rPr>
          <w:rFonts w:asciiTheme="minorHAnsi" w:hAnsiTheme="minorHAnsi"/>
        </w:rPr>
        <w:t xml:space="preserve"> te</w:t>
      </w:r>
      <w:r w:rsidR="002003DB">
        <w:rPr>
          <w:rFonts w:asciiTheme="minorHAnsi" w:hAnsiTheme="minorHAnsi"/>
        </w:rPr>
        <w:t xml:space="preserve"> </w:t>
      </w:r>
      <w:r w:rsidRPr="00CF4700">
        <w:rPr>
          <w:rFonts w:asciiTheme="minorHAnsi" w:hAnsiTheme="minorHAnsi"/>
        </w:rPr>
        <w:t>atraktivni</w:t>
      </w:r>
      <w:r w:rsidR="002003DB">
        <w:rPr>
          <w:rFonts w:asciiTheme="minorHAnsi" w:hAnsiTheme="minorHAnsi"/>
        </w:rPr>
        <w:t>h</w:t>
      </w:r>
      <w:r w:rsidRPr="00CF4700">
        <w:rPr>
          <w:rFonts w:asciiTheme="minorHAnsi" w:hAnsiTheme="minorHAnsi"/>
        </w:rPr>
        <w:t xml:space="preserve"> različiti</w:t>
      </w:r>
      <w:r w:rsidR="002003DB">
        <w:rPr>
          <w:rFonts w:asciiTheme="minorHAnsi" w:hAnsiTheme="minorHAnsi"/>
        </w:rPr>
        <w:t>h programa</w:t>
      </w:r>
      <w:r w:rsidRPr="00CF4700">
        <w:rPr>
          <w:rFonts w:asciiTheme="minorHAnsi" w:hAnsiTheme="minorHAnsi"/>
        </w:rPr>
        <w:t xml:space="preserve"> nagrađivanja vjernosti</w:t>
      </w:r>
      <w:r w:rsidR="002003DB">
        <w:rPr>
          <w:rFonts w:asciiTheme="minorHAnsi" w:hAnsiTheme="minorHAnsi"/>
        </w:rPr>
        <w:t xml:space="preserve">. Također, ova grupa aktivnosti podrazumijeva i </w:t>
      </w:r>
      <w:r w:rsidRPr="00CF4700">
        <w:rPr>
          <w:rFonts w:asciiTheme="minorHAnsi" w:hAnsiTheme="minorHAnsi"/>
        </w:rPr>
        <w:t>redovite promocije različitih tipova, prilagođene različitim skupinama igrača s obzirom na igre koje uplaćuju, iznose za koje igraju, te frekvenciju igranja</w:t>
      </w:r>
      <w:r w:rsidR="002003DB">
        <w:rPr>
          <w:rFonts w:asciiTheme="minorHAnsi" w:hAnsiTheme="minorHAnsi"/>
        </w:rPr>
        <w:t xml:space="preserve">, kao i </w:t>
      </w:r>
      <w:r w:rsidRPr="00CF4700">
        <w:rPr>
          <w:rFonts w:asciiTheme="minorHAnsi" w:hAnsiTheme="minorHAnsi"/>
        </w:rPr>
        <w:t>proširenje VIP grupe</w:t>
      </w:r>
      <w:r w:rsidR="002003DB">
        <w:rPr>
          <w:rFonts w:asciiTheme="minorHAnsi" w:hAnsiTheme="minorHAnsi"/>
        </w:rPr>
        <w:t xml:space="preserve"> igrača </w:t>
      </w:r>
      <w:r w:rsidRPr="00CF4700">
        <w:rPr>
          <w:rFonts w:asciiTheme="minorHAnsi" w:hAnsiTheme="minorHAnsi"/>
        </w:rPr>
        <w:t>s kojima se uspostavlja personalizirani odnos od strane VIP managera</w:t>
      </w:r>
    </w:p>
    <w:p w:rsidR="00CF4700" w:rsidRPr="00CF4700" w:rsidRDefault="002003DB" w:rsidP="00CF4700">
      <w:pPr>
        <w:jc w:val="both"/>
        <w:rPr>
          <w:rFonts w:asciiTheme="minorHAnsi" w:hAnsiTheme="minorHAnsi"/>
        </w:rPr>
      </w:pPr>
      <w:r>
        <w:rPr>
          <w:rFonts w:asciiTheme="minorHAnsi" w:hAnsiTheme="minorHAnsi"/>
        </w:rPr>
        <w:t>Aktivnosti u ovom segmentu uključuju i i</w:t>
      </w:r>
      <w:r w:rsidR="00CF4700" w:rsidRPr="00CF4700">
        <w:rPr>
          <w:rFonts w:asciiTheme="minorHAnsi" w:hAnsiTheme="minorHAnsi"/>
        </w:rPr>
        <w:t>zrad</w:t>
      </w:r>
      <w:r>
        <w:rPr>
          <w:rFonts w:asciiTheme="minorHAnsi" w:hAnsiTheme="minorHAnsi"/>
        </w:rPr>
        <w:t>u</w:t>
      </w:r>
      <w:r w:rsidR="00CF4700" w:rsidRPr="00CF4700">
        <w:rPr>
          <w:rFonts w:asciiTheme="minorHAnsi" w:hAnsiTheme="minorHAnsi"/>
        </w:rPr>
        <w:t xml:space="preserve"> jedinstvene strategije upravljanja igračima koja se naslanja na novu tehnologiju i alate (Intralot – nova platforma), te analiz</w:t>
      </w:r>
      <w:r>
        <w:rPr>
          <w:rFonts w:asciiTheme="minorHAnsi" w:hAnsiTheme="minorHAnsi"/>
        </w:rPr>
        <w:t>u</w:t>
      </w:r>
      <w:r w:rsidR="00CF4700" w:rsidRPr="00CF4700">
        <w:rPr>
          <w:rFonts w:asciiTheme="minorHAnsi" w:hAnsiTheme="minorHAnsi"/>
        </w:rPr>
        <w:t xml:space="preserve"> podatka o igračima, igrama, kretanju tržišta, kako bi se poboljšali poslovni odnosi s n</w:t>
      </w:r>
      <w:r>
        <w:rPr>
          <w:rFonts w:asciiTheme="minorHAnsi" w:hAnsiTheme="minorHAnsi"/>
        </w:rPr>
        <w:t xml:space="preserve">aglaskom na njihovo zadržavanje, što u konačnici za cilj ima ostvarenje planiranog </w:t>
      </w:r>
      <w:r w:rsidR="00CF4700" w:rsidRPr="00CF4700">
        <w:rPr>
          <w:rFonts w:asciiTheme="minorHAnsi" w:hAnsiTheme="minorHAnsi"/>
        </w:rPr>
        <w:t>rast</w:t>
      </w:r>
      <w:r>
        <w:rPr>
          <w:rFonts w:asciiTheme="minorHAnsi" w:hAnsiTheme="minorHAnsi"/>
        </w:rPr>
        <w:t>a</w:t>
      </w:r>
      <w:r w:rsidR="00CF4700" w:rsidRPr="00CF4700">
        <w:rPr>
          <w:rFonts w:asciiTheme="minorHAnsi" w:hAnsiTheme="minorHAnsi"/>
        </w:rPr>
        <w:t xml:space="preserve"> prodaje. </w:t>
      </w:r>
    </w:p>
    <w:p w:rsidR="00815F5E" w:rsidRPr="00815F5E" w:rsidRDefault="00CF4700" w:rsidP="00815F5E">
      <w:pPr>
        <w:jc w:val="both"/>
        <w:rPr>
          <w:rFonts w:asciiTheme="minorHAnsi" w:hAnsiTheme="minorHAnsi"/>
        </w:rPr>
      </w:pPr>
      <w:r w:rsidRPr="00CF4700">
        <w:rPr>
          <w:rFonts w:asciiTheme="minorHAnsi" w:hAnsiTheme="minorHAnsi"/>
        </w:rPr>
        <w:t>Cilj je organiziranje i automatizacija promocija, kampanja, nagradnih igara, marketinga, te upravljanje svim informacijama u vezi s igračima na jednom mjestu i u jednom sustavu kroz</w:t>
      </w:r>
      <w:r w:rsidR="002003DB">
        <w:rPr>
          <w:rFonts w:asciiTheme="minorHAnsi" w:hAnsiTheme="minorHAnsi"/>
        </w:rPr>
        <w:t xml:space="preserve"> d</w:t>
      </w:r>
      <w:r w:rsidRPr="00CF4700">
        <w:rPr>
          <w:rFonts w:asciiTheme="minorHAnsi" w:hAnsiTheme="minorHAnsi"/>
        </w:rPr>
        <w:t>efiniciju aktivnosti za akviziciju igrača(„ne-igrača”)</w:t>
      </w:r>
      <w:r w:rsidR="002003DB">
        <w:rPr>
          <w:rFonts w:asciiTheme="minorHAnsi" w:hAnsiTheme="minorHAnsi"/>
        </w:rPr>
        <w:t>, u</w:t>
      </w:r>
      <w:r w:rsidRPr="00CF4700">
        <w:rPr>
          <w:rFonts w:asciiTheme="minorHAnsi" w:hAnsiTheme="minorHAnsi"/>
        </w:rPr>
        <w:t>tvrđivanje vrijednosti i kategorije igrača prema različitim kriterijima</w:t>
      </w:r>
      <w:r w:rsidR="002003DB">
        <w:rPr>
          <w:rFonts w:asciiTheme="minorHAnsi" w:hAnsiTheme="minorHAnsi"/>
        </w:rPr>
        <w:t>, i</w:t>
      </w:r>
      <w:r w:rsidRPr="00CF4700">
        <w:rPr>
          <w:rFonts w:asciiTheme="minorHAnsi" w:hAnsiTheme="minorHAnsi"/>
        </w:rPr>
        <w:t>dentifikaciju i određivanje faza</w:t>
      </w:r>
      <w:r w:rsidR="002003DB">
        <w:rPr>
          <w:rFonts w:asciiTheme="minorHAnsi" w:hAnsiTheme="minorHAnsi"/>
        </w:rPr>
        <w:t xml:space="preserve"> </w:t>
      </w:r>
      <w:r w:rsidRPr="00CF4700">
        <w:rPr>
          <w:rFonts w:asciiTheme="minorHAnsi" w:hAnsiTheme="minorHAnsi"/>
        </w:rPr>
        <w:t>životnog ciklusa igrača</w:t>
      </w:r>
      <w:r w:rsidR="002003DB">
        <w:rPr>
          <w:rFonts w:asciiTheme="minorHAnsi" w:hAnsiTheme="minorHAnsi"/>
        </w:rPr>
        <w:t xml:space="preserve"> te a</w:t>
      </w:r>
      <w:r w:rsidRPr="00CF4700">
        <w:rPr>
          <w:rFonts w:asciiTheme="minorHAnsi" w:hAnsiTheme="minorHAnsi"/>
        </w:rPr>
        <w:t>nalizu i</w:t>
      </w:r>
      <w:r w:rsidR="002003DB">
        <w:rPr>
          <w:rFonts w:asciiTheme="minorHAnsi" w:hAnsiTheme="minorHAnsi"/>
        </w:rPr>
        <w:t xml:space="preserve"> </w:t>
      </w:r>
      <w:r w:rsidRPr="00CF4700">
        <w:rPr>
          <w:rFonts w:asciiTheme="minorHAnsi" w:hAnsiTheme="minorHAnsi"/>
        </w:rPr>
        <w:t>defin</w:t>
      </w:r>
      <w:r w:rsidR="002003DB">
        <w:rPr>
          <w:rFonts w:asciiTheme="minorHAnsi" w:hAnsiTheme="minorHAnsi"/>
        </w:rPr>
        <w:t>iranje</w:t>
      </w:r>
      <w:r w:rsidRPr="00CF4700">
        <w:rPr>
          <w:rFonts w:asciiTheme="minorHAnsi" w:hAnsiTheme="minorHAnsi"/>
        </w:rPr>
        <w:t xml:space="preserve"> ključnih motivacijskih faktora za </w:t>
      </w:r>
      <w:r w:rsidR="002003DB">
        <w:rPr>
          <w:rFonts w:asciiTheme="minorHAnsi" w:hAnsiTheme="minorHAnsi"/>
        </w:rPr>
        <w:t>igranje.</w:t>
      </w:r>
      <w:r w:rsidR="00815F5E">
        <w:rPr>
          <w:rFonts w:asciiTheme="minorHAnsi" w:hAnsiTheme="minorHAnsi"/>
        </w:rPr>
        <w:t xml:space="preserve"> Osim toga, kroz jedinstven sustav moguća je i izrada programa vjernosti te </w:t>
      </w:r>
      <w:r w:rsidR="00815F5E" w:rsidRPr="00815F5E">
        <w:rPr>
          <w:rFonts w:asciiTheme="minorHAnsi" w:hAnsiTheme="minorHAnsi"/>
        </w:rPr>
        <w:t>nagrađivanja igrača i prodavača,</w:t>
      </w:r>
      <w:r w:rsidR="00815F5E">
        <w:rPr>
          <w:rFonts w:asciiTheme="minorHAnsi" w:hAnsiTheme="minorHAnsi"/>
        </w:rPr>
        <w:t xml:space="preserve"> i</w:t>
      </w:r>
      <w:r w:rsidR="00815F5E" w:rsidRPr="00815F5E">
        <w:rPr>
          <w:rFonts w:asciiTheme="minorHAnsi" w:hAnsiTheme="minorHAnsi"/>
        </w:rPr>
        <w:t>zrad</w:t>
      </w:r>
      <w:r w:rsidR="00815F5E">
        <w:rPr>
          <w:rFonts w:asciiTheme="minorHAnsi" w:hAnsiTheme="minorHAnsi"/>
        </w:rPr>
        <w:t>a</w:t>
      </w:r>
      <w:r w:rsidR="00815F5E" w:rsidRPr="00815F5E">
        <w:rPr>
          <w:rFonts w:asciiTheme="minorHAnsi" w:hAnsiTheme="minorHAnsi"/>
        </w:rPr>
        <w:t xml:space="preserve"> komunikacijske strategije za sve grupe igrača/ne-igrača,</w:t>
      </w:r>
      <w:r w:rsidR="00815F5E">
        <w:rPr>
          <w:rFonts w:asciiTheme="minorHAnsi" w:hAnsiTheme="minorHAnsi"/>
        </w:rPr>
        <w:t xml:space="preserve"> kao i u</w:t>
      </w:r>
      <w:r w:rsidR="00815F5E" w:rsidRPr="00815F5E">
        <w:rPr>
          <w:rFonts w:asciiTheme="minorHAnsi" w:hAnsiTheme="minorHAnsi"/>
        </w:rPr>
        <w:t>spostavljanje personaliziranog pristupa</w:t>
      </w:r>
      <w:r w:rsidR="00815F5E">
        <w:rPr>
          <w:rFonts w:asciiTheme="minorHAnsi" w:hAnsiTheme="minorHAnsi"/>
        </w:rPr>
        <w:t xml:space="preserve">, odnosno odnosa i </w:t>
      </w:r>
      <w:r w:rsidR="00815F5E" w:rsidRPr="00815F5E">
        <w:rPr>
          <w:rFonts w:asciiTheme="minorHAnsi" w:hAnsiTheme="minorHAnsi"/>
        </w:rPr>
        <w:t>komunikacije sa najvrjednijim igračima</w:t>
      </w:r>
      <w:r w:rsidR="00815F5E">
        <w:rPr>
          <w:rFonts w:asciiTheme="minorHAnsi" w:hAnsiTheme="minorHAnsi"/>
        </w:rPr>
        <w:t>.</w:t>
      </w:r>
    </w:p>
    <w:p w:rsidR="00CF4700" w:rsidRDefault="00CF4700" w:rsidP="00AA11A1">
      <w:pPr>
        <w:jc w:val="both"/>
        <w:rPr>
          <w:rFonts w:asciiTheme="minorHAnsi" w:hAnsiTheme="minorHAnsi"/>
        </w:rPr>
      </w:pPr>
    </w:p>
    <w:p w:rsidR="00404E9E" w:rsidRDefault="00815F5E" w:rsidP="00AA11A1">
      <w:pPr>
        <w:jc w:val="both"/>
        <w:rPr>
          <w:rFonts w:asciiTheme="minorHAnsi" w:hAnsiTheme="minorHAnsi"/>
        </w:rPr>
      </w:pPr>
      <w:r>
        <w:rPr>
          <w:rFonts w:asciiTheme="minorHAnsi" w:hAnsiTheme="minorHAnsi"/>
        </w:rPr>
        <w:t xml:space="preserve">Dakle, za </w:t>
      </w:r>
      <w:r w:rsidR="00404E9E" w:rsidRPr="007A598F">
        <w:rPr>
          <w:rFonts w:asciiTheme="minorHAnsi" w:hAnsiTheme="minorHAnsi"/>
        </w:rPr>
        <w:t xml:space="preserve">ostvarivanje </w:t>
      </w:r>
      <w:r>
        <w:rPr>
          <w:rFonts w:asciiTheme="minorHAnsi" w:hAnsiTheme="minorHAnsi"/>
        </w:rPr>
        <w:t>cilja uspostave dugoročnog personaliziranog</w:t>
      </w:r>
      <w:r w:rsidRPr="007A598F">
        <w:rPr>
          <w:rFonts w:asciiTheme="minorHAnsi" w:hAnsiTheme="minorHAnsi"/>
        </w:rPr>
        <w:t xml:space="preserve"> odnos</w:t>
      </w:r>
      <w:r>
        <w:rPr>
          <w:rFonts w:asciiTheme="minorHAnsi" w:hAnsiTheme="minorHAnsi"/>
        </w:rPr>
        <w:t>a</w:t>
      </w:r>
      <w:r w:rsidRPr="007A598F">
        <w:rPr>
          <w:rFonts w:asciiTheme="minorHAnsi" w:hAnsiTheme="minorHAnsi"/>
        </w:rPr>
        <w:t xml:space="preserve"> s igračima </w:t>
      </w:r>
      <w:r w:rsidR="00404E9E" w:rsidRPr="007A598F">
        <w:rPr>
          <w:rFonts w:asciiTheme="minorHAnsi" w:hAnsiTheme="minorHAnsi"/>
        </w:rPr>
        <w:t xml:space="preserve">nužno je, kao temelj, osigurati detaljan </w:t>
      </w:r>
      <w:r w:rsidR="00B3315D" w:rsidRPr="007A598F">
        <w:rPr>
          <w:rFonts w:asciiTheme="minorHAnsi" w:hAnsiTheme="minorHAnsi"/>
        </w:rPr>
        <w:t xml:space="preserve">jedinstven uvid </w:t>
      </w:r>
      <w:r w:rsidR="00404E9E" w:rsidRPr="007A598F">
        <w:rPr>
          <w:rFonts w:asciiTheme="minorHAnsi" w:hAnsiTheme="minorHAnsi"/>
        </w:rPr>
        <w:t>u navike i očekivanja svakog pojedinog igrača te pratiti njegov životni ciklus kroz sve platforme (Nova platforma i tehnološki backbone)</w:t>
      </w:r>
      <w:r w:rsidR="00380725" w:rsidRPr="007A598F">
        <w:rPr>
          <w:rFonts w:asciiTheme="minorHAnsi" w:hAnsiTheme="minorHAnsi"/>
        </w:rPr>
        <w:t>.</w:t>
      </w:r>
    </w:p>
    <w:p w:rsidR="00CD3AA4" w:rsidRPr="007A598F" w:rsidRDefault="00CD3AA4" w:rsidP="00AA11A1">
      <w:pPr>
        <w:jc w:val="both"/>
        <w:rPr>
          <w:rFonts w:asciiTheme="minorHAnsi" w:hAnsiTheme="minorHAnsi"/>
        </w:rPr>
      </w:pPr>
    </w:p>
    <w:p w:rsidR="00404E9E" w:rsidRDefault="00404E9E" w:rsidP="00E01020">
      <w:pPr>
        <w:pStyle w:val="Heading1"/>
        <w:numPr>
          <w:ilvl w:val="2"/>
          <w:numId w:val="16"/>
        </w:numPr>
        <w:jc w:val="both"/>
        <w:rPr>
          <w:rFonts w:ascii="Calibri" w:hAnsi="Calibri" w:cs="Calibri"/>
          <w:sz w:val="28"/>
          <w:szCs w:val="28"/>
        </w:rPr>
      </w:pPr>
      <w:bookmarkStart w:id="17" w:name="_Toc533660863"/>
      <w:r w:rsidRPr="007A598F">
        <w:rPr>
          <w:rFonts w:ascii="Calibri" w:hAnsi="Calibri" w:cs="Calibri"/>
          <w:sz w:val="28"/>
          <w:szCs w:val="28"/>
        </w:rPr>
        <w:t>Modernizacija portfelja igara</w:t>
      </w:r>
      <w:bookmarkEnd w:id="17"/>
    </w:p>
    <w:p w:rsidR="00D34951" w:rsidRPr="00D34951" w:rsidRDefault="00D34951" w:rsidP="00D34951"/>
    <w:p w:rsidR="00404E9E" w:rsidRDefault="00404E9E" w:rsidP="00404E9E">
      <w:pPr>
        <w:jc w:val="both"/>
        <w:rPr>
          <w:rFonts w:asciiTheme="minorHAnsi" w:hAnsiTheme="minorHAnsi"/>
        </w:rPr>
      </w:pPr>
      <w:r w:rsidRPr="007A598F">
        <w:rPr>
          <w:rFonts w:asciiTheme="minorHAnsi" w:hAnsiTheme="minorHAnsi"/>
        </w:rPr>
        <w:t xml:space="preserve">Ova inicijativa ima fokus na upravljanje </w:t>
      </w:r>
      <w:r w:rsidR="00092BB7" w:rsidRPr="007A598F">
        <w:rPr>
          <w:rFonts w:asciiTheme="minorHAnsi" w:hAnsiTheme="minorHAnsi"/>
        </w:rPr>
        <w:t>portfeljem</w:t>
      </w:r>
      <w:r w:rsidRPr="007A598F">
        <w:rPr>
          <w:rFonts w:asciiTheme="minorHAnsi" w:hAnsiTheme="minorHAnsi"/>
        </w:rPr>
        <w:t xml:space="preserve"> svih igara (netržišni segment – igre izvlačenja, srećke te tržišni segment – prije svega vezan uz igre klađenja).</w:t>
      </w:r>
    </w:p>
    <w:p w:rsidR="00404E9E" w:rsidRPr="007A598F" w:rsidRDefault="00404E9E" w:rsidP="009C7C8C">
      <w:pPr>
        <w:pStyle w:val="ListParagraph"/>
        <w:numPr>
          <w:ilvl w:val="0"/>
          <w:numId w:val="1"/>
        </w:numPr>
        <w:jc w:val="both"/>
        <w:rPr>
          <w:rFonts w:asciiTheme="minorHAnsi" w:hAnsiTheme="minorHAnsi"/>
          <w:b/>
        </w:rPr>
      </w:pPr>
      <w:r w:rsidRPr="007A598F">
        <w:rPr>
          <w:rFonts w:asciiTheme="minorHAnsi" w:hAnsiTheme="minorHAnsi"/>
          <w:b/>
        </w:rPr>
        <w:t xml:space="preserve">Igre izvlačenja </w:t>
      </w:r>
    </w:p>
    <w:p w:rsidR="00404E9E" w:rsidRPr="007A598F" w:rsidRDefault="00404E9E" w:rsidP="00404E9E">
      <w:pPr>
        <w:jc w:val="both"/>
        <w:rPr>
          <w:rFonts w:asciiTheme="minorHAnsi" w:hAnsiTheme="minorHAnsi"/>
        </w:rPr>
      </w:pPr>
      <w:r w:rsidRPr="007A598F">
        <w:rPr>
          <w:rFonts w:asciiTheme="minorHAnsi" w:hAnsiTheme="minorHAnsi"/>
        </w:rPr>
        <w:t>Cilj inicijative je promjena modela i radnih procesa koji trebaju dovesti do:</w:t>
      </w:r>
    </w:p>
    <w:p w:rsidR="00404E9E" w:rsidRPr="007A598F" w:rsidRDefault="00404E9E" w:rsidP="009C7C8C">
      <w:pPr>
        <w:numPr>
          <w:ilvl w:val="0"/>
          <w:numId w:val="4"/>
        </w:numPr>
        <w:spacing w:after="0" w:line="240" w:lineRule="auto"/>
        <w:jc w:val="both"/>
        <w:rPr>
          <w:rFonts w:asciiTheme="minorHAnsi" w:hAnsiTheme="minorHAnsi"/>
        </w:rPr>
      </w:pPr>
      <w:r w:rsidRPr="007A598F">
        <w:rPr>
          <w:rFonts w:asciiTheme="minorHAnsi" w:hAnsiTheme="minorHAnsi"/>
          <w:bCs/>
        </w:rPr>
        <w:t xml:space="preserve">prilagodbe portfelja igara </w:t>
      </w:r>
      <w:r w:rsidRPr="007A598F">
        <w:rPr>
          <w:rFonts w:asciiTheme="minorHAnsi" w:hAnsiTheme="minorHAnsi"/>
        </w:rPr>
        <w:t>(repozicioniranja igara, nove igre) – veća širina ponude, kao i brže i jednostavnije uključenje u igru</w:t>
      </w:r>
    </w:p>
    <w:p w:rsidR="00404E9E" w:rsidRPr="007A598F" w:rsidRDefault="00404E9E" w:rsidP="009C7C8C">
      <w:pPr>
        <w:numPr>
          <w:ilvl w:val="0"/>
          <w:numId w:val="4"/>
        </w:numPr>
        <w:spacing w:after="0" w:line="240" w:lineRule="auto"/>
        <w:jc w:val="both"/>
        <w:rPr>
          <w:rFonts w:asciiTheme="minorHAnsi" w:hAnsiTheme="minorHAnsi"/>
        </w:rPr>
      </w:pPr>
      <w:r w:rsidRPr="007A598F">
        <w:rPr>
          <w:rFonts w:asciiTheme="minorHAnsi" w:hAnsiTheme="minorHAnsi"/>
          <w:bCs/>
        </w:rPr>
        <w:t>povećanja baze igrača</w:t>
      </w:r>
      <w:r w:rsidRPr="007A598F">
        <w:rPr>
          <w:rFonts w:asciiTheme="minorHAnsi" w:hAnsiTheme="minorHAnsi"/>
        </w:rPr>
        <w:t xml:space="preserve">. </w:t>
      </w:r>
    </w:p>
    <w:p w:rsidR="00982489" w:rsidRPr="007A598F" w:rsidRDefault="00982489" w:rsidP="00404E9E">
      <w:pPr>
        <w:jc w:val="both"/>
        <w:rPr>
          <w:rFonts w:asciiTheme="minorHAnsi" w:hAnsiTheme="minorHAnsi"/>
        </w:rPr>
      </w:pPr>
    </w:p>
    <w:p w:rsidR="00404E9E" w:rsidRPr="007A598F" w:rsidRDefault="00404E9E" w:rsidP="00404E9E">
      <w:pPr>
        <w:jc w:val="both"/>
        <w:rPr>
          <w:rFonts w:asciiTheme="minorHAnsi" w:hAnsiTheme="minorHAnsi"/>
        </w:rPr>
      </w:pPr>
      <w:r w:rsidRPr="007A598F">
        <w:rPr>
          <w:rFonts w:asciiTheme="minorHAnsi" w:hAnsiTheme="minorHAnsi"/>
        </w:rPr>
        <w:lastRenderedPageBreak/>
        <w:t xml:space="preserve">Iz pozicije orijentiranosti na igru treba napraviti promjenu i orijentirati se na (ne)igrača (iz </w:t>
      </w:r>
      <w:r w:rsidRPr="007A598F">
        <w:rPr>
          <w:rFonts w:asciiTheme="minorHAnsi" w:hAnsiTheme="minorHAnsi"/>
          <w:i/>
          <w:iCs/>
        </w:rPr>
        <w:t xml:space="preserve">product oriented </w:t>
      </w:r>
      <w:r w:rsidRPr="007A598F">
        <w:rPr>
          <w:rFonts w:asciiTheme="minorHAnsi" w:hAnsiTheme="minorHAnsi"/>
        </w:rPr>
        <w:t xml:space="preserve">u </w:t>
      </w:r>
      <w:r w:rsidRPr="007A598F">
        <w:rPr>
          <w:rFonts w:asciiTheme="minorHAnsi" w:hAnsiTheme="minorHAnsi"/>
          <w:i/>
          <w:iCs/>
        </w:rPr>
        <w:t>player oriented</w:t>
      </w:r>
      <w:r w:rsidRPr="007A598F">
        <w:rPr>
          <w:rFonts w:asciiTheme="minorHAnsi" w:hAnsiTheme="minorHAnsi"/>
        </w:rPr>
        <w:t>). Potrebno je uvesti sustavno istraživanje tržišta i to u dva segmenta: igrača i neigrača, te sustavno bavljenje igračima (</w:t>
      </w:r>
      <w:r w:rsidRPr="007A598F">
        <w:rPr>
          <w:rFonts w:asciiTheme="minorHAnsi" w:hAnsiTheme="minorHAnsi"/>
          <w:i/>
          <w:iCs/>
        </w:rPr>
        <w:t>player management</w:t>
      </w:r>
      <w:r w:rsidRPr="007A598F">
        <w:rPr>
          <w:rFonts w:asciiTheme="minorHAnsi" w:hAnsiTheme="minorHAnsi"/>
        </w:rPr>
        <w:t>).</w:t>
      </w:r>
    </w:p>
    <w:p w:rsidR="00404E9E" w:rsidRPr="007A598F" w:rsidRDefault="00404E9E" w:rsidP="00404E9E">
      <w:pPr>
        <w:jc w:val="both"/>
        <w:rPr>
          <w:rFonts w:asciiTheme="minorHAnsi" w:hAnsiTheme="minorHAnsi"/>
        </w:rPr>
      </w:pPr>
      <w:r w:rsidRPr="007A598F">
        <w:rPr>
          <w:rFonts w:asciiTheme="minorHAnsi" w:hAnsiTheme="minorHAnsi"/>
        </w:rPr>
        <w:t xml:space="preserve">Igre je potrebno prilagoditi hrvatskom tržištu (broj stanovnika, kupovna moć) i segmentirati sukladno cjenovnom razredu, iznosima jackpota, frekvencijama izvlačenja i frekvencijama ostvarivanja jackpota i nižih dobitaka. Trend svjetskog tržišta je brži protok/okretaj novca i to je efekt koji želimo postići. </w:t>
      </w:r>
    </w:p>
    <w:p w:rsidR="00404E9E" w:rsidRPr="007A598F" w:rsidRDefault="00404E9E" w:rsidP="00404E9E">
      <w:pPr>
        <w:jc w:val="both"/>
        <w:rPr>
          <w:rFonts w:asciiTheme="minorHAnsi" w:hAnsiTheme="minorHAnsi"/>
        </w:rPr>
      </w:pPr>
      <w:r w:rsidRPr="007A598F">
        <w:rPr>
          <w:rFonts w:asciiTheme="minorHAnsi" w:hAnsiTheme="minorHAnsi"/>
        </w:rPr>
        <w:t>Prodajno-marketinške aktivnosti će se osvježiti atraktivnim robnim dobicima, te paketnom prodajom igara.  Za igre kod kojih je predviđen jači redizajn ili gašenje bit će definirana izlazna strategija što uključuje pojačano pražnjenje akumulacija.</w:t>
      </w:r>
    </w:p>
    <w:p w:rsidR="00404E9E" w:rsidRPr="007A598F" w:rsidRDefault="00404E9E" w:rsidP="00404E9E">
      <w:pPr>
        <w:jc w:val="both"/>
        <w:rPr>
          <w:rFonts w:asciiTheme="minorHAnsi" w:hAnsiTheme="minorHAnsi"/>
        </w:rPr>
      </w:pPr>
      <w:r w:rsidRPr="007A598F">
        <w:rPr>
          <w:rFonts w:asciiTheme="minorHAnsi" w:hAnsiTheme="minorHAnsi"/>
        </w:rPr>
        <w:t>Edukacija prodavača je ključna za komunikaciju prema klijentima.</w:t>
      </w:r>
    </w:p>
    <w:p w:rsidR="00404E9E" w:rsidRPr="007A598F" w:rsidRDefault="00404E9E" w:rsidP="00404E9E">
      <w:pPr>
        <w:jc w:val="both"/>
        <w:rPr>
          <w:rFonts w:asciiTheme="minorHAnsi" w:hAnsiTheme="minorHAnsi"/>
        </w:rPr>
      </w:pPr>
      <w:r w:rsidRPr="007A598F">
        <w:rPr>
          <w:rFonts w:asciiTheme="minorHAnsi" w:hAnsiTheme="minorHAnsi"/>
        </w:rPr>
        <w:t xml:space="preserve">Marketinške aktivnosti </w:t>
      </w:r>
      <w:r w:rsidR="00286E66">
        <w:rPr>
          <w:rFonts w:asciiTheme="minorHAnsi" w:hAnsiTheme="minorHAnsi"/>
        </w:rPr>
        <w:t>se postupno</w:t>
      </w:r>
      <w:r w:rsidRPr="007A598F">
        <w:rPr>
          <w:rFonts w:asciiTheme="minorHAnsi" w:hAnsiTheme="minorHAnsi"/>
        </w:rPr>
        <w:t xml:space="preserve"> refokusir</w:t>
      </w:r>
      <w:r w:rsidR="00286E66">
        <w:rPr>
          <w:rFonts w:asciiTheme="minorHAnsi" w:hAnsiTheme="minorHAnsi"/>
        </w:rPr>
        <w:t>aju</w:t>
      </w:r>
      <w:r w:rsidRPr="007A598F">
        <w:rPr>
          <w:rFonts w:asciiTheme="minorHAnsi" w:hAnsiTheme="minorHAnsi"/>
        </w:rPr>
        <w:t xml:space="preserve"> s trenutno dominantnog televizijskog modela na druge kanale. </w:t>
      </w:r>
    </w:p>
    <w:p w:rsidR="00404E9E" w:rsidRPr="007A598F" w:rsidRDefault="00404E9E" w:rsidP="009C7C8C">
      <w:pPr>
        <w:pStyle w:val="ListParagraph"/>
        <w:numPr>
          <w:ilvl w:val="0"/>
          <w:numId w:val="1"/>
        </w:numPr>
        <w:jc w:val="both"/>
        <w:rPr>
          <w:rFonts w:asciiTheme="minorHAnsi" w:hAnsiTheme="minorHAnsi"/>
          <w:b/>
        </w:rPr>
      </w:pPr>
      <w:r w:rsidRPr="007A598F">
        <w:rPr>
          <w:rFonts w:asciiTheme="minorHAnsi" w:hAnsiTheme="minorHAnsi"/>
          <w:b/>
        </w:rPr>
        <w:t>Instant i prigodne lutrije</w:t>
      </w:r>
    </w:p>
    <w:p w:rsidR="00404E9E" w:rsidRPr="007A598F" w:rsidRDefault="00404E9E" w:rsidP="00404E9E">
      <w:pPr>
        <w:jc w:val="both"/>
        <w:rPr>
          <w:rFonts w:asciiTheme="minorHAnsi" w:hAnsiTheme="minorHAnsi"/>
        </w:rPr>
      </w:pPr>
      <w:r w:rsidRPr="007A598F">
        <w:rPr>
          <w:rFonts w:asciiTheme="minorHAnsi" w:hAnsiTheme="minorHAnsi"/>
        </w:rPr>
        <w:t xml:space="preserve">Kritična točka u segmentu poslovanja s instant i prigodnim srećkama je </w:t>
      </w:r>
      <w:r w:rsidRPr="007A598F">
        <w:rPr>
          <w:rFonts w:asciiTheme="minorHAnsi" w:hAnsiTheme="minorHAnsi"/>
          <w:bCs/>
        </w:rPr>
        <w:t xml:space="preserve">osigurati kontinuitet poslovanja </w:t>
      </w:r>
      <w:r w:rsidRPr="007A598F">
        <w:rPr>
          <w:rFonts w:asciiTheme="minorHAnsi" w:hAnsiTheme="minorHAnsi"/>
        </w:rPr>
        <w:t>u čemu je najveća prepreka proces odabira dobavljača (priprema i provođenje procesa javne nabave).</w:t>
      </w:r>
    </w:p>
    <w:p w:rsidR="00404E9E" w:rsidRPr="007A598F" w:rsidRDefault="00404E9E" w:rsidP="00404E9E">
      <w:pPr>
        <w:jc w:val="both"/>
        <w:rPr>
          <w:rFonts w:asciiTheme="minorHAnsi" w:hAnsiTheme="minorHAnsi"/>
        </w:rPr>
      </w:pPr>
      <w:r w:rsidRPr="007A598F">
        <w:rPr>
          <w:rFonts w:asciiTheme="minorHAnsi" w:hAnsiTheme="minorHAnsi"/>
        </w:rPr>
        <w:t xml:space="preserve">Uvođenjem </w:t>
      </w:r>
      <w:r w:rsidR="004D172F">
        <w:rPr>
          <w:rFonts w:asciiTheme="minorHAnsi" w:hAnsiTheme="minorHAnsi"/>
        </w:rPr>
        <w:t>produkt menadžera</w:t>
      </w:r>
      <w:r w:rsidRPr="007A598F">
        <w:rPr>
          <w:rFonts w:asciiTheme="minorHAnsi" w:hAnsiTheme="minorHAnsi"/>
        </w:rPr>
        <w:t xml:space="preserve"> za srećke dobiva se osoba koja nadgleda i odgovara za cijeli proces.</w:t>
      </w:r>
    </w:p>
    <w:p w:rsidR="00404E9E" w:rsidRDefault="00404E9E" w:rsidP="009C7C8C">
      <w:pPr>
        <w:pStyle w:val="ListParagraph"/>
        <w:numPr>
          <w:ilvl w:val="0"/>
          <w:numId w:val="1"/>
        </w:numPr>
        <w:spacing w:after="0" w:line="240" w:lineRule="auto"/>
        <w:jc w:val="both"/>
        <w:rPr>
          <w:rFonts w:asciiTheme="minorHAnsi" w:hAnsiTheme="minorHAnsi"/>
          <w:b/>
        </w:rPr>
      </w:pPr>
      <w:r w:rsidRPr="007A598F">
        <w:rPr>
          <w:rFonts w:asciiTheme="minorHAnsi" w:hAnsiTheme="minorHAnsi"/>
          <w:b/>
        </w:rPr>
        <w:t>Tržišni segment klađenja</w:t>
      </w:r>
    </w:p>
    <w:p w:rsidR="006B4D69" w:rsidRDefault="006B4D69" w:rsidP="006B4D69">
      <w:pPr>
        <w:pStyle w:val="ListParagraph"/>
        <w:spacing w:after="0" w:line="240" w:lineRule="auto"/>
        <w:jc w:val="both"/>
        <w:rPr>
          <w:rFonts w:asciiTheme="minorHAnsi" w:hAnsiTheme="minorHAnsi"/>
          <w:b/>
        </w:rPr>
      </w:pPr>
    </w:p>
    <w:p w:rsidR="00FF0362" w:rsidRPr="00CD3AA4" w:rsidRDefault="00271506" w:rsidP="00CD3AA4">
      <w:pPr>
        <w:rPr>
          <w:rFonts w:asciiTheme="minorHAnsi" w:hAnsiTheme="minorHAnsi" w:cstheme="minorHAnsi"/>
        </w:rPr>
      </w:pPr>
      <w:r>
        <w:rPr>
          <w:rFonts w:asciiTheme="minorHAnsi" w:hAnsiTheme="minorHAnsi" w:cstheme="minorHAnsi"/>
        </w:rPr>
        <w:t>Inicijativa u segmentu igara klađenja uključuje primarno p</w:t>
      </w:r>
      <w:r w:rsidR="004D172F" w:rsidRPr="004D172F">
        <w:rPr>
          <w:rFonts w:asciiTheme="minorHAnsi" w:hAnsiTheme="minorHAnsi" w:cstheme="minorHAnsi"/>
        </w:rPr>
        <w:t>rodajno-marketinške aktivnosti i korištenje naprednih marketinških alata, napredno klađenje uživo, napredne nove usluge i igre.</w:t>
      </w:r>
    </w:p>
    <w:p w:rsidR="00404E9E" w:rsidRDefault="00404E9E" w:rsidP="00E01020">
      <w:pPr>
        <w:pStyle w:val="Heading1"/>
        <w:numPr>
          <w:ilvl w:val="2"/>
          <w:numId w:val="16"/>
        </w:numPr>
        <w:jc w:val="both"/>
        <w:rPr>
          <w:rFonts w:ascii="Calibri" w:hAnsi="Calibri" w:cs="Calibri"/>
          <w:sz w:val="28"/>
          <w:szCs w:val="28"/>
        </w:rPr>
      </w:pPr>
      <w:bookmarkStart w:id="18" w:name="_Toc533660864"/>
      <w:r w:rsidRPr="007A598F">
        <w:rPr>
          <w:rFonts w:ascii="Calibri" w:hAnsi="Calibri" w:cs="Calibri"/>
          <w:sz w:val="28"/>
          <w:szCs w:val="28"/>
        </w:rPr>
        <w:t>Prodaja 2022</w:t>
      </w:r>
      <w:r w:rsidR="000A08C1">
        <w:rPr>
          <w:rFonts w:ascii="Calibri" w:hAnsi="Calibri" w:cs="Calibri"/>
          <w:sz w:val="28"/>
          <w:szCs w:val="28"/>
        </w:rPr>
        <w:t>.</w:t>
      </w:r>
      <w:bookmarkEnd w:id="18"/>
    </w:p>
    <w:p w:rsidR="00D34951" w:rsidRPr="00D34951" w:rsidRDefault="00D34951" w:rsidP="00D34951"/>
    <w:p w:rsidR="00404E9E" w:rsidRPr="007A598F" w:rsidRDefault="00404E9E" w:rsidP="00404E9E">
      <w:pPr>
        <w:jc w:val="both"/>
        <w:rPr>
          <w:rFonts w:asciiTheme="minorHAnsi" w:hAnsiTheme="minorHAnsi"/>
        </w:rPr>
      </w:pPr>
      <w:r w:rsidRPr="007A598F">
        <w:rPr>
          <w:rFonts w:asciiTheme="minorHAnsi" w:hAnsiTheme="minorHAnsi"/>
        </w:rPr>
        <w:t xml:space="preserve">Odnosi se na </w:t>
      </w:r>
      <w:r w:rsidR="006B4D69">
        <w:rPr>
          <w:rFonts w:asciiTheme="minorHAnsi" w:hAnsiTheme="minorHAnsi"/>
        </w:rPr>
        <w:t>nekoliko glavnih</w:t>
      </w:r>
      <w:r w:rsidRPr="007A598F">
        <w:rPr>
          <w:rFonts w:asciiTheme="minorHAnsi" w:hAnsiTheme="minorHAnsi"/>
        </w:rPr>
        <w:t xml:space="preserve"> područja:</w:t>
      </w:r>
    </w:p>
    <w:p w:rsidR="00404E9E" w:rsidRPr="007A598F" w:rsidRDefault="00404E9E" w:rsidP="009C7C8C">
      <w:pPr>
        <w:pStyle w:val="ListParagraph"/>
        <w:numPr>
          <w:ilvl w:val="0"/>
          <w:numId w:val="1"/>
        </w:numPr>
        <w:jc w:val="both"/>
        <w:rPr>
          <w:rFonts w:asciiTheme="minorHAnsi" w:hAnsiTheme="minorHAnsi"/>
          <w:b/>
        </w:rPr>
      </w:pPr>
      <w:r w:rsidRPr="007A598F">
        <w:rPr>
          <w:rFonts w:asciiTheme="minorHAnsi" w:hAnsiTheme="minorHAnsi"/>
          <w:b/>
        </w:rPr>
        <w:t>Optimizacija formata i vizualnog identiteta prodajnog mjesta</w:t>
      </w:r>
    </w:p>
    <w:p w:rsidR="00404E9E" w:rsidRDefault="00404E9E" w:rsidP="00404E9E">
      <w:pPr>
        <w:jc w:val="both"/>
        <w:rPr>
          <w:rFonts w:asciiTheme="minorHAnsi" w:hAnsiTheme="minorHAnsi"/>
        </w:rPr>
      </w:pPr>
      <w:r w:rsidRPr="007A598F">
        <w:rPr>
          <w:rFonts w:asciiTheme="minorHAnsi" w:hAnsiTheme="minorHAnsi"/>
        </w:rPr>
        <w:t xml:space="preserve">Inicijativa podrazumijeva modernizaciju, redizajn i </w:t>
      </w:r>
      <w:r w:rsidR="00271506">
        <w:rPr>
          <w:rFonts w:asciiTheme="minorHAnsi" w:hAnsiTheme="minorHAnsi"/>
        </w:rPr>
        <w:t>brendiranje</w:t>
      </w:r>
      <w:r w:rsidRPr="007A598F">
        <w:rPr>
          <w:rFonts w:asciiTheme="minorHAnsi" w:hAnsiTheme="minorHAnsi"/>
        </w:rPr>
        <w:t xml:space="preserve"> prodajnih mjesta do 2022.</w:t>
      </w:r>
      <w:r w:rsidR="000A08C1">
        <w:rPr>
          <w:rFonts w:asciiTheme="minorHAnsi" w:hAnsiTheme="minorHAnsi"/>
        </w:rPr>
        <w:t xml:space="preserve"> godine.</w:t>
      </w:r>
      <w:r w:rsidRPr="007A598F">
        <w:rPr>
          <w:rFonts w:asciiTheme="minorHAnsi" w:hAnsiTheme="minorHAnsi"/>
        </w:rPr>
        <w:t xml:space="preserve"> Kroz ovu inicijativu potrebno je stvoriti karakteristike uređenja prodajnog mjesta zbog kojih bismo bili u prednosti u odnosu na konkurenciju. </w:t>
      </w:r>
    </w:p>
    <w:p w:rsidR="000359F1" w:rsidRPr="000359F1" w:rsidRDefault="000359F1" w:rsidP="009C7C8C">
      <w:pPr>
        <w:pStyle w:val="ListParagraph"/>
        <w:numPr>
          <w:ilvl w:val="0"/>
          <w:numId w:val="1"/>
        </w:numPr>
        <w:jc w:val="both"/>
        <w:rPr>
          <w:rFonts w:asciiTheme="minorHAnsi" w:hAnsiTheme="minorHAnsi"/>
          <w:b/>
        </w:rPr>
      </w:pPr>
      <w:r w:rsidRPr="000359F1">
        <w:rPr>
          <w:rFonts w:asciiTheme="minorHAnsi" w:hAnsiTheme="minorHAnsi"/>
          <w:b/>
        </w:rPr>
        <w:t xml:space="preserve">Upravljanje prodajnom mrežom </w:t>
      </w:r>
    </w:p>
    <w:p w:rsidR="000359F1" w:rsidRPr="000359F1" w:rsidRDefault="000359F1" w:rsidP="000359F1">
      <w:pPr>
        <w:jc w:val="both"/>
        <w:rPr>
          <w:rFonts w:asciiTheme="minorHAnsi" w:hAnsiTheme="minorHAnsi"/>
        </w:rPr>
      </w:pPr>
      <w:r>
        <w:rPr>
          <w:rFonts w:asciiTheme="minorHAnsi" w:hAnsiTheme="minorHAnsi"/>
        </w:rPr>
        <w:t>Unaprjeđenje profitabilnosti i upravljanja prodajnom mrežom kroz niz aktivnosti (postupna zamjena prodajnih mjesta niže marže, unaprjeđenje praćenja profitabilnosti)</w:t>
      </w:r>
    </w:p>
    <w:p w:rsidR="00404E9E" w:rsidRPr="007A598F" w:rsidRDefault="00404E9E" w:rsidP="009C7C8C">
      <w:pPr>
        <w:pStyle w:val="ListParagraph"/>
        <w:numPr>
          <w:ilvl w:val="0"/>
          <w:numId w:val="1"/>
        </w:numPr>
        <w:jc w:val="both"/>
        <w:rPr>
          <w:rFonts w:asciiTheme="minorHAnsi" w:hAnsiTheme="minorHAnsi"/>
          <w:b/>
        </w:rPr>
      </w:pPr>
      <w:r w:rsidRPr="007A598F">
        <w:rPr>
          <w:rFonts w:asciiTheme="minorHAnsi" w:hAnsiTheme="minorHAnsi"/>
          <w:b/>
        </w:rPr>
        <w:t>Poslovni modeli - strateška partnerstva, franšiza</w:t>
      </w:r>
    </w:p>
    <w:p w:rsidR="00D34951" w:rsidRPr="007A598F" w:rsidRDefault="00404E9E" w:rsidP="00404E9E">
      <w:pPr>
        <w:jc w:val="both"/>
        <w:rPr>
          <w:rFonts w:asciiTheme="minorHAnsi" w:hAnsiTheme="minorHAnsi"/>
        </w:rPr>
      </w:pPr>
      <w:r w:rsidRPr="007A598F">
        <w:rPr>
          <w:rFonts w:asciiTheme="minorHAnsi" w:hAnsiTheme="minorHAnsi"/>
        </w:rPr>
        <w:lastRenderedPageBreak/>
        <w:t>Cilj je utvrditi mogućnosti uvođenja novih poslovnih modela u područjima</w:t>
      </w:r>
      <w:r w:rsidR="000875BB">
        <w:rPr>
          <w:rFonts w:asciiTheme="minorHAnsi" w:hAnsiTheme="minorHAnsi"/>
        </w:rPr>
        <w:t xml:space="preserve"> poslovanja gdje aktivnosti Hrvatske Lutrije</w:t>
      </w:r>
      <w:r w:rsidRPr="007A598F">
        <w:rPr>
          <w:rFonts w:asciiTheme="minorHAnsi" w:hAnsiTheme="minorHAnsi"/>
        </w:rPr>
        <w:t xml:space="preserve"> ne dostižu maksimalni potencijal i učinkovitost. Inicijativa je usmjerena na dva područja: strateška partnerstva i franši</w:t>
      </w:r>
      <w:r w:rsidR="004A6541">
        <w:rPr>
          <w:rFonts w:asciiTheme="minorHAnsi" w:hAnsiTheme="minorHAnsi"/>
        </w:rPr>
        <w:t>ze. Kao jedan od preduvjeta ostvarenja cilja je i uvođenje pozicija voditelja ključnih kupaca (osoba zaduženih za odnose sa ključnim kupcima/partnerima).</w:t>
      </w:r>
    </w:p>
    <w:p w:rsidR="00404E9E" w:rsidRPr="007A598F" w:rsidRDefault="00404E9E" w:rsidP="009C7C8C">
      <w:pPr>
        <w:pStyle w:val="ListParagraph"/>
        <w:numPr>
          <w:ilvl w:val="0"/>
          <w:numId w:val="1"/>
        </w:numPr>
        <w:jc w:val="both"/>
        <w:rPr>
          <w:rFonts w:asciiTheme="minorHAnsi" w:hAnsiTheme="minorHAnsi"/>
          <w:b/>
        </w:rPr>
      </w:pPr>
      <w:r w:rsidRPr="007A598F">
        <w:rPr>
          <w:rFonts w:asciiTheme="minorHAnsi" w:hAnsiTheme="minorHAnsi"/>
          <w:b/>
        </w:rPr>
        <w:t>Povećanje tržišnog udjela u segmentu automat klubova (AK) i casina</w:t>
      </w:r>
    </w:p>
    <w:p w:rsidR="00404E9E" w:rsidRPr="007A598F" w:rsidRDefault="004A6541" w:rsidP="00404E9E">
      <w:pPr>
        <w:jc w:val="both"/>
        <w:rPr>
          <w:rFonts w:asciiTheme="minorHAnsi" w:hAnsiTheme="minorHAnsi"/>
        </w:rPr>
      </w:pPr>
      <w:r>
        <w:rPr>
          <w:rFonts w:asciiTheme="minorHAnsi" w:hAnsiTheme="minorHAnsi"/>
          <w:bCs/>
        </w:rPr>
        <w:t>U periodu do 2022. godine c</w:t>
      </w:r>
      <w:r w:rsidR="00404E9E" w:rsidRPr="007A598F">
        <w:rPr>
          <w:rFonts w:asciiTheme="minorHAnsi" w:hAnsiTheme="minorHAnsi"/>
          <w:bCs/>
        </w:rPr>
        <w:t xml:space="preserve">ilj inicijative je vratiti </w:t>
      </w:r>
      <w:r>
        <w:rPr>
          <w:rFonts w:asciiTheme="minorHAnsi" w:hAnsiTheme="minorHAnsi"/>
          <w:bCs/>
        </w:rPr>
        <w:t xml:space="preserve">dio </w:t>
      </w:r>
      <w:r w:rsidR="00404E9E" w:rsidRPr="007A598F">
        <w:rPr>
          <w:rFonts w:asciiTheme="minorHAnsi" w:hAnsiTheme="minorHAnsi"/>
          <w:bCs/>
        </w:rPr>
        <w:t>tržišn</w:t>
      </w:r>
      <w:r>
        <w:rPr>
          <w:rFonts w:asciiTheme="minorHAnsi" w:hAnsiTheme="minorHAnsi"/>
          <w:bCs/>
        </w:rPr>
        <w:t>og</w:t>
      </w:r>
      <w:r w:rsidR="00EE08E5">
        <w:rPr>
          <w:rFonts w:asciiTheme="minorHAnsi" w:hAnsiTheme="minorHAnsi"/>
          <w:bCs/>
        </w:rPr>
        <w:t xml:space="preserve"> udjela, primarno kro</w:t>
      </w:r>
      <w:r>
        <w:rPr>
          <w:rFonts w:asciiTheme="minorHAnsi" w:hAnsiTheme="minorHAnsi"/>
          <w:bCs/>
        </w:rPr>
        <w:t>z organski rast jačanjem postojećih automat klubova i otvaranjem novih u prosjeku 2 godišnje (do kraja 2022.godine</w:t>
      </w:r>
      <w:r w:rsidR="00EE08E5">
        <w:rPr>
          <w:rFonts w:asciiTheme="minorHAnsi" w:hAnsiTheme="minorHAnsi"/>
          <w:bCs/>
        </w:rPr>
        <w:t xml:space="preserve"> planiramo imati ukupno 17 automat klubova).</w:t>
      </w:r>
      <w:r w:rsidR="00404E9E" w:rsidRPr="007A598F">
        <w:rPr>
          <w:rFonts w:asciiTheme="minorHAnsi" w:hAnsiTheme="minorHAnsi"/>
        </w:rPr>
        <w:t xml:space="preserve"> U </w:t>
      </w:r>
      <w:r w:rsidR="009F288C">
        <w:rPr>
          <w:rFonts w:asciiTheme="minorHAnsi" w:hAnsiTheme="minorHAnsi"/>
        </w:rPr>
        <w:t>2018. godini otvorena su</w:t>
      </w:r>
      <w:r w:rsidR="00EE08E5">
        <w:rPr>
          <w:rFonts w:asciiTheme="minorHAnsi" w:hAnsiTheme="minorHAnsi"/>
        </w:rPr>
        <w:t xml:space="preserve"> 2 nova automat kluba, a u 2019.godini planiramo otvoriti 4 nova </w:t>
      </w:r>
      <w:r w:rsidR="00EF0B32">
        <w:rPr>
          <w:rFonts w:asciiTheme="minorHAnsi" w:hAnsiTheme="minorHAnsi"/>
        </w:rPr>
        <w:t>automat klub</w:t>
      </w:r>
      <w:r w:rsidR="00016D07">
        <w:rPr>
          <w:rFonts w:asciiTheme="minorHAnsi" w:hAnsiTheme="minorHAnsi"/>
        </w:rPr>
        <w:t>a.</w:t>
      </w:r>
    </w:p>
    <w:p w:rsidR="00EE08E5" w:rsidRDefault="00EE08E5" w:rsidP="00404E9E">
      <w:pPr>
        <w:jc w:val="both"/>
        <w:rPr>
          <w:rFonts w:asciiTheme="minorHAnsi" w:hAnsiTheme="minorHAnsi"/>
        </w:rPr>
      </w:pPr>
      <w:r>
        <w:rPr>
          <w:rFonts w:asciiTheme="minorHAnsi" w:hAnsiTheme="minorHAnsi"/>
        </w:rPr>
        <w:t>U segmentu Casina u 2019</w:t>
      </w:r>
      <w:r w:rsidR="00404E9E" w:rsidRPr="007A598F">
        <w:rPr>
          <w:rFonts w:asciiTheme="minorHAnsi" w:hAnsiTheme="minorHAnsi"/>
        </w:rPr>
        <w:t xml:space="preserve">. </w:t>
      </w:r>
      <w:r w:rsidR="00B3315D">
        <w:rPr>
          <w:rFonts w:asciiTheme="minorHAnsi" w:hAnsiTheme="minorHAnsi"/>
        </w:rPr>
        <w:t xml:space="preserve">godini </w:t>
      </w:r>
      <w:r>
        <w:rPr>
          <w:rFonts w:asciiTheme="minorHAnsi" w:hAnsiTheme="minorHAnsi"/>
        </w:rPr>
        <w:t>postojeći casino preselit će se na novu lokaciju.</w:t>
      </w:r>
      <w:r w:rsidR="00404E9E" w:rsidRPr="007A598F">
        <w:rPr>
          <w:rFonts w:asciiTheme="minorHAnsi" w:hAnsiTheme="minorHAnsi"/>
        </w:rPr>
        <w:t xml:space="preserve"> </w:t>
      </w:r>
    </w:p>
    <w:p w:rsidR="00EE08E5" w:rsidRPr="007A598F" w:rsidRDefault="00404E9E" w:rsidP="00404E9E">
      <w:pPr>
        <w:jc w:val="both"/>
        <w:rPr>
          <w:rFonts w:asciiTheme="minorHAnsi" w:hAnsiTheme="minorHAnsi"/>
        </w:rPr>
      </w:pPr>
      <w:r w:rsidRPr="007A598F">
        <w:rPr>
          <w:rFonts w:asciiTheme="minorHAnsi" w:hAnsiTheme="minorHAnsi"/>
        </w:rPr>
        <w:t xml:space="preserve">Za realizaciju ove </w:t>
      </w:r>
      <w:r w:rsidR="00092BB7" w:rsidRPr="007A598F">
        <w:rPr>
          <w:rFonts w:asciiTheme="minorHAnsi" w:hAnsiTheme="minorHAnsi"/>
        </w:rPr>
        <w:t>inicijative</w:t>
      </w:r>
      <w:r w:rsidRPr="007A598F">
        <w:rPr>
          <w:rFonts w:asciiTheme="minorHAnsi" w:hAnsiTheme="minorHAnsi"/>
        </w:rPr>
        <w:t xml:space="preserve"> potrebno je</w:t>
      </w:r>
      <w:r w:rsidR="00016D07">
        <w:rPr>
          <w:rFonts w:asciiTheme="minorHAnsi" w:hAnsiTheme="minorHAnsi"/>
        </w:rPr>
        <w:t>,</w:t>
      </w:r>
      <w:r w:rsidRPr="007A598F">
        <w:rPr>
          <w:rFonts w:asciiTheme="minorHAnsi" w:hAnsiTheme="minorHAnsi"/>
        </w:rPr>
        <w:t xml:space="preserve"> vezano uz ljudske resurse</w:t>
      </w:r>
      <w:r w:rsidR="00016D07">
        <w:rPr>
          <w:rFonts w:asciiTheme="minorHAnsi" w:hAnsiTheme="minorHAnsi"/>
        </w:rPr>
        <w:t>,</w:t>
      </w:r>
      <w:r w:rsidRPr="007A598F">
        <w:rPr>
          <w:rFonts w:asciiTheme="minorHAnsi" w:hAnsiTheme="minorHAnsi"/>
        </w:rPr>
        <w:t xml:space="preserve"> uspostaviti sustav ovisnosti o izvršenju plana i plaće zaposlenika te nastaviti s programom </w:t>
      </w:r>
      <w:r w:rsidR="00016D07">
        <w:rPr>
          <w:rFonts w:asciiTheme="minorHAnsi" w:hAnsiTheme="minorHAnsi"/>
        </w:rPr>
        <w:t xml:space="preserve">usavršavanja </w:t>
      </w:r>
      <w:r w:rsidRPr="007A598F">
        <w:rPr>
          <w:rFonts w:asciiTheme="minorHAnsi" w:hAnsiTheme="minorHAnsi"/>
        </w:rPr>
        <w:t>prodajnih vještina prodajnog osoblja (izvrsnost prodaje)</w:t>
      </w:r>
      <w:r w:rsidR="00016D07">
        <w:rPr>
          <w:rFonts w:asciiTheme="minorHAnsi" w:hAnsiTheme="minorHAnsi"/>
        </w:rPr>
        <w:t>. Planiraju se i aktivnosti</w:t>
      </w:r>
      <w:r w:rsidRPr="007A598F">
        <w:rPr>
          <w:rFonts w:asciiTheme="minorHAnsi" w:hAnsiTheme="minorHAnsi"/>
        </w:rPr>
        <w:t xml:space="preserve"> jač</w:t>
      </w:r>
      <w:r w:rsidR="00016D07">
        <w:rPr>
          <w:rFonts w:asciiTheme="minorHAnsi" w:hAnsiTheme="minorHAnsi"/>
        </w:rPr>
        <w:t>anja</w:t>
      </w:r>
      <w:r w:rsidRPr="007A598F">
        <w:rPr>
          <w:rFonts w:asciiTheme="minorHAnsi" w:hAnsiTheme="minorHAnsi"/>
        </w:rPr>
        <w:t xml:space="preserve"> povezivanj</w:t>
      </w:r>
      <w:r w:rsidR="00016D07">
        <w:rPr>
          <w:rFonts w:asciiTheme="minorHAnsi" w:hAnsiTheme="minorHAnsi"/>
        </w:rPr>
        <w:t>a</w:t>
      </w:r>
      <w:r w:rsidRPr="007A598F">
        <w:rPr>
          <w:rFonts w:asciiTheme="minorHAnsi" w:hAnsiTheme="minorHAnsi"/>
        </w:rPr>
        <w:t xml:space="preserve"> s marketingom </w:t>
      </w:r>
      <w:r w:rsidR="00016D07">
        <w:rPr>
          <w:rFonts w:asciiTheme="minorHAnsi" w:hAnsiTheme="minorHAnsi"/>
        </w:rPr>
        <w:t>i</w:t>
      </w:r>
      <w:r w:rsidRPr="007A598F">
        <w:rPr>
          <w:rFonts w:asciiTheme="minorHAnsi" w:hAnsiTheme="minorHAnsi"/>
        </w:rPr>
        <w:t xml:space="preserve"> intenziviranje oglašavanja u domeni digitalnog marketinga</w:t>
      </w:r>
      <w:r w:rsidR="00016D07">
        <w:rPr>
          <w:rFonts w:asciiTheme="minorHAnsi" w:hAnsiTheme="minorHAnsi"/>
        </w:rPr>
        <w:t>.</w:t>
      </w:r>
    </w:p>
    <w:p w:rsidR="00404E9E" w:rsidRPr="007A598F" w:rsidRDefault="00404E9E" w:rsidP="009C7C8C">
      <w:pPr>
        <w:pStyle w:val="ListParagraph"/>
        <w:numPr>
          <w:ilvl w:val="0"/>
          <w:numId w:val="1"/>
        </w:numPr>
        <w:jc w:val="both"/>
        <w:rPr>
          <w:rFonts w:asciiTheme="minorHAnsi" w:hAnsiTheme="minorHAnsi"/>
          <w:b/>
        </w:rPr>
      </w:pPr>
      <w:r w:rsidRPr="007A598F">
        <w:rPr>
          <w:rFonts w:asciiTheme="minorHAnsi" w:hAnsiTheme="minorHAnsi"/>
          <w:b/>
        </w:rPr>
        <w:t>Digitalizacija prodajnih mjesta</w:t>
      </w:r>
    </w:p>
    <w:p w:rsidR="00404E9E" w:rsidRPr="007A598F" w:rsidRDefault="00404E9E" w:rsidP="00404E9E">
      <w:pPr>
        <w:jc w:val="both"/>
        <w:rPr>
          <w:rFonts w:asciiTheme="minorHAnsi" w:hAnsiTheme="minorHAnsi"/>
        </w:rPr>
      </w:pPr>
      <w:r w:rsidRPr="007A598F">
        <w:rPr>
          <w:rFonts w:asciiTheme="minorHAnsi" w:hAnsiTheme="minorHAnsi"/>
        </w:rPr>
        <w:t xml:space="preserve">Trenutno su prodajna mjesta </w:t>
      </w:r>
      <w:r w:rsidR="000875BB">
        <w:rPr>
          <w:rFonts w:asciiTheme="minorHAnsi" w:hAnsiTheme="minorHAnsi"/>
        </w:rPr>
        <w:t>Hrvatske Lutrije</w:t>
      </w:r>
      <w:r w:rsidRPr="007A598F">
        <w:rPr>
          <w:rFonts w:asciiTheme="minorHAnsi" w:hAnsiTheme="minorHAnsi"/>
        </w:rPr>
        <w:t xml:space="preserve"> percipirana kao konzervativna prodajna mjesta sa klasičnim komunikacijskim medijima (npr. naljepnice i papirne reklame), a sama ponuda, posebno lutrijskih igara, temeljena na papirnatom mediju. Ove postavke i uređenje ne animiraju igrače mlađe generacije koji samim time niti ne zalaze u tradicionalna prodajna mjesta </w:t>
      </w:r>
      <w:r w:rsidR="003E1B53">
        <w:rPr>
          <w:rFonts w:asciiTheme="minorHAnsi" w:hAnsiTheme="minorHAnsi"/>
        </w:rPr>
        <w:t>H</w:t>
      </w:r>
      <w:r w:rsidR="000875BB">
        <w:rPr>
          <w:rFonts w:asciiTheme="minorHAnsi" w:hAnsiTheme="minorHAnsi"/>
        </w:rPr>
        <w:t xml:space="preserve">rvatske </w:t>
      </w:r>
      <w:r w:rsidR="003E1B53">
        <w:rPr>
          <w:rFonts w:asciiTheme="minorHAnsi" w:hAnsiTheme="minorHAnsi"/>
        </w:rPr>
        <w:t>L</w:t>
      </w:r>
      <w:r w:rsidR="000875BB">
        <w:rPr>
          <w:rFonts w:asciiTheme="minorHAnsi" w:hAnsiTheme="minorHAnsi"/>
        </w:rPr>
        <w:t>utrije</w:t>
      </w:r>
      <w:r w:rsidRPr="007A598F">
        <w:rPr>
          <w:rFonts w:asciiTheme="minorHAnsi" w:hAnsiTheme="minorHAnsi"/>
        </w:rPr>
        <w:t>.</w:t>
      </w:r>
    </w:p>
    <w:p w:rsidR="00404E9E" w:rsidRPr="007A598F" w:rsidRDefault="00404E9E" w:rsidP="00404E9E">
      <w:pPr>
        <w:jc w:val="both"/>
        <w:rPr>
          <w:rFonts w:asciiTheme="minorHAnsi" w:hAnsiTheme="minorHAnsi"/>
        </w:rPr>
      </w:pPr>
      <w:r w:rsidRPr="007A598F">
        <w:rPr>
          <w:rFonts w:asciiTheme="minorHAnsi" w:hAnsiTheme="minorHAnsi"/>
        </w:rPr>
        <w:t>Mlađu populaciju igrača moguće je animirati digitalizacijom prostora, mogućnošću povezivanja sa socijalnim mrežama i komunikacijom dobitka i konceptom igraonice umjesto prodajnog mjesta.</w:t>
      </w:r>
    </w:p>
    <w:p w:rsidR="00404E9E" w:rsidRPr="007A598F" w:rsidRDefault="00404E9E" w:rsidP="00404E9E">
      <w:pPr>
        <w:jc w:val="both"/>
        <w:rPr>
          <w:rFonts w:asciiTheme="minorHAnsi" w:hAnsiTheme="minorHAnsi"/>
        </w:rPr>
      </w:pPr>
      <w:r w:rsidRPr="007A598F">
        <w:rPr>
          <w:rFonts w:asciiTheme="minorHAnsi" w:hAnsiTheme="minorHAnsi"/>
        </w:rPr>
        <w:t xml:space="preserve">Mlađi igrači nemaju naviku odlaska u </w:t>
      </w:r>
      <w:r w:rsidR="00CA1A50">
        <w:rPr>
          <w:rFonts w:asciiTheme="minorHAnsi" w:hAnsiTheme="minorHAnsi"/>
        </w:rPr>
        <w:t>prodajna mjesta</w:t>
      </w:r>
      <w:r w:rsidR="000875BB">
        <w:rPr>
          <w:rFonts w:asciiTheme="minorHAnsi" w:hAnsiTheme="minorHAnsi"/>
        </w:rPr>
        <w:t xml:space="preserve"> Hrvatske Lutrije</w:t>
      </w:r>
      <w:r w:rsidR="00CA1A50">
        <w:rPr>
          <w:rFonts w:asciiTheme="minorHAnsi" w:hAnsiTheme="minorHAnsi"/>
        </w:rPr>
        <w:t xml:space="preserve"> i općenito prodajna mjesta</w:t>
      </w:r>
      <w:r w:rsidRPr="007A598F">
        <w:rPr>
          <w:rFonts w:asciiTheme="minorHAnsi" w:hAnsiTheme="minorHAnsi"/>
        </w:rPr>
        <w:t xml:space="preserve">, </w:t>
      </w:r>
      <w:r w:rsidR="00CA1A50">
        <w:rPr>
          <w:rFonts w:asciiTheme="minorHAnsi" w:hAnsiTheme="minorHAnsi"/>
        </w:rPr>
        <w:t xml:space="preserve">već </w:t>
      </w:r>
      <w:r w:rsidRPr="007A598F">
        <w:rPr>
          <w:rFonts w:asciiTheme="minorHAnsi" w:hAnsiTheme="minorHAnsi"/>
        </w:rPr>
        <w:t>imaju naviku obavljanja transakcija na različitim vrstama terminala, od bankomata, „totem” terminala</w:t>
      </w:r>
      <w:r w:rsidR="00CA1A50">
        <w:rPr>
          <w:rFonts w:asciiTheme="minorHAnsi" w:hAnsiTheme="minorHAnsi"/>
        </w:rPr>
        <w:t xml:space="preserve"> do</w:t>
      </w:r>
      <w:r w:rsidRPr="007A598F">
        <w:rPr>
          <w:rFonts w:asciiTheme="minorHAnsi" w:hAnsiTheme="minorHAnsi"/>
        </w:rPr>
        <w:t xml:space="preserve"> aparata za napitke („vending machines”). Ova inicijativa ima za cilj postaviti ov</w:t>
      </w:r>
      <w:r w:rsidR="00547EE0">
        <w:rPr>
          <w:rFonts w:asciiTheme="minorHAnsi" w:hAnsiTheme="minorHAnsi"/>
        </w:rPr>
        <w:t>akvu</w:t>
      </w:r>
      <w:r w:rsidRPr="007A598F">
        <w:rPr>
          <w:rFonts w:asciiTheme="minorHAnsi" w:hAnsiTheme="minorHAnsi"/>
        </w:rPr>
        <w:t xml:space="preserve"> vrstu uređaja u dnevni raspored igrača, po kinima, shopping centrima, kafićima  i tako im omogućiti igranje van poslovnice.</w:t>
      </w:r>
    </w:p>
    <w:p w:rsidR="00404E9E" w:rsidRPr="007A598F" w:rsidRDefault="00404E9E" w:rsidP="00404E9E">
      <w:pPr>
        <w:jc w:val="both"/>
        <w:rPr>
          <w:rFonts w:asciiTheme="minorHAnsi" w:hAnsiTheme="minorHAnsi"/>
        </w:rPr>
      </w:pPr>
      <w:r w:rsidRPr="007A598F">
        <w:rPr>
          <w:rFonts w:asciiTheme="minorHAnsi" w:hAnsiTheme="minorHAnsi"/>
        </w:rPr>
        <w:t xml:space="preserve">Cilj je </w:t>
      </w:r>
      <w:r w:rsidRPr="007A598F">
        <w:rPr>
          <w:rFonts w:asciiTheme="minorHAnsi" w:hAnsiTheme="minorHAnsi"/>
          <w:bCs/>
        </w:rPr>
        <w:t xml:space="preserve">animirati 20.000 novih igrača godišnje, </w:t>
      </w:r>
      <w:r w:rsidRPr="007A598F">
        <w:rPr>
          <w:rFonts w:asciiTheme="minorHAnsi" w:hAnsiTheme="minorHAnsi"/>
        </w:rPr>
        <w:t>mlađe popul</w:t>
      </w:r>
      <w:r w:rsidR="000875BB">
        <w:rPr>
          <w:rFonts w:asciiTheme="minorHAnsi" w:hAnsiTheme="minorHAnsi"/>
        </w:rPr>
        <w:t>acije u maloprodajnoj mreži Hrvatske Lutrije</w:t>
      </w:r>
      <w:r w:rsidRPr="007A598F">
        <w:rPr>
          <w:rFonts w:asciiTheme="minorHAnsi" w:hAnsiTheme="minorHAnsi"/>
        </w:rPr>
        <w:t>.</w:t>
      </w:r>
    </w:p>
    <w:p w:rsidR="00404E9E" w:rsidRDefault="00404E9E" w:rsidP="00E01020">
      <w:pPr>
        <w:pStyle w:val="Heading1"/>
        <w:numPr>
          <w:ilvl w:val="2"/>
          <w:numId w:val="16"/>
        </w:numPr>
        <w:jc w:val="both"/>
        <w:rPr>
          <w:rFonts w:ascii="Calibri" w:hAnsi="Calibri" w:cs="Calibri"/>
          <w:sz w:val="28"/>
          <w:szCs w:val="28"/>
        </w:rPr>
      </w:pPr>
      <w:bookmarkStart w:id="19" w:name="_Toc533660865"/>
      <w:r w:rsidRPr="007A598F">
        <w:rPr>
          <w:rFonts w:ascii="Calibri" w:hAnsi="Calibri" w:cs="Calibri"/>
          <w:sz w:val="28"/>
          <w:szCs w:val="28"/>
        </w:rPr>
        <w:t>Unaprjeđenje upravljanja ljudskim potencijalima</w:t>
      </w:r>
      <w:bookmarkEnd w:id="19"/>
      <w:r w:rsidRPr="007A598F">
        <w:rPr>
          <w:rFonts w:ascii="Calibri" w:hAnsi="Calibri" w:cs="Calibri"/>
          <w:sz w:val="28"/>
          <w:szCs w:val="28"/>
        </w:rPr>
        <w:t xml:space="preserve"> </w:t>
      </w:r>
    </w:p>
    <w:p w:rsidR="00D34951" w:rsidRPr="00D34951" w:rsidRDefault="00D34951" w:rsidP="00D34951"/>
    <w:p w:rsidR="00404E9E" w:rsidRPr="007A598F" w:rsidRDefault="00404E9E" w:rsidP="00404E9E">
      <w:pPr>
        <w:jc w:val="both"/>
        <w:rPr>
          <w:rFonts w:asciiTheme="minorHAnsi" w:hAnsiTheme="minorHAnsi"/>
        </w:rPr>
      </w:pPr>
      <w:r w:rsidRPr="007A598F">
        <w:rPr>
          <w:rFonts w:asciiTheme="minorHAnsi" w:hAnsiTheme="minorHAnsi"/>
        </w:rPr>
        <w:t>Odnosi se na 3 glavna područja:</w:t>
      </w:r>
    </w:p>
    <w:p w:rsidR="00404E9E" w:rsidRPr="006B4D69" w:rsidRDefault="00404E9E" w:rsidP="009C7C8C">
      <w:pPr>
        <w:pStyle w:val="ListParagraph"/>
        <w:numPr>
          <w:ilvl w:val="0"/>
          <w:numId w:val="14"/>
        </w:numPr>
        <w:jc w:val="both"/>
        <w:rPr>
          <w:rFonts w:asciiTheme="minorHAnsi" w:hAnsiTheme="minorHAnsi"/>
          <w:b/>
        </w:rPr>
      </w:pPr>
      <w:r w:rsidRPr="006B4D69">
        <w:rPr>
          <w:rFonts w:asciiTheme="minorHAnsi" w:hAnsiTheme="minorHAnsi"/>
          <w:b/>
        </w:rPr>
        <w:t>Unaprjeđenje sustava nagrađivanja</w:t>
      </w:r>
    </w:p>
    <w:p w:rsidR="00404E9E" w:rsidRPr="007A598F" w:rsidRDefault="00404E9E" w:rsidP="00404E9E">
      <w:pPr>
        <w:jc w:val="both"/>
        <w:rPr>
          <w:rFonts w:asciiTheme="minorHAnsi" w:hAnsiTheme="minorHAnsi"/>
        </w:rPr>
      </w:pPr>
      <w:r w:rsidRPr="007A598F">
        <w:rPr>
          <w:rFonts w:asciiTheme="minorHAnsi" w:hAnsiTheme="minorHAnsi"/>
        </w:rPr>
        <w:lastRenderedPageBreak/>
        <w:t>Cilj inicijative jest redefinirati postojeći sustav nagrađivanja</w:t>
      </w:r>
      <w:r w:rsidR="00314618">
        <w:rPr>
          <w:rFonts w:asciiTheme="minorHAnsi" w:hAnsiTheme="minorHAnsi"/>
        </w:rPr>
        <w:t xml:space="preserve"> koji se u najvećem dijelu odnosi na prodajno osoblje</w:t>
      </w:r>
      <w:r w:rsidRPr="007A598F">
        <w:rPr>
          <w:rFonts w:asciiTheme="minorHAnsi" w:hAnsiTheme="minorHAnsi"/>
        </w:rPr>
        <w:t xml:space="preserve">, s konačnim ciljem povećanja motivacije i financijskih rezultata kroz povezivanje individualnih nagrada i primitaka s </w:t>
      </w:r>
      <w:r w:rsidR="00C04E1B" w:rsidRPr="007A598F">
        <w:rPr>
          <w:rFonts w:asciiTheme="minorHAnsi" w:hAnsiTheme="minorHAnsi"/>
        </w:rPr>
        <w:t xml:space="preserve">ostvarenjem zadanih </w:t>
      </w:r>
      <w:r w:rsidRPr="007A598F">
        <w:rPr>
          <w:rFonts w:asciiTheme="minorHAnsi" w:hAnsiTheme="minorHAnsi"/>
        </w:rPr>
        <w:t>individualni</w:t>
      </w:r>
      <w:r w:rsidR="00C04E1B">
        <w:rPr>
          <w:rFonts w:asciiTheme="minorHAnsi" w:hAnsiTheme="minorHAnsi"/>
        </w:rPr>
        <w:t>h</w:t>
      </w:r>
      <w:r w:rsidRPr="007A598F">
        <w:rPr>
          <w:rFonts w:asciiTheme="minorHAnsi" w:hAnsiTheme="minorHAnsi"/>
        </w:rPr>
        <w:t xml:space="preserve"> (i grupnim) ciljeva. Ključni elementi inicijative su:</w:t>
      </w:r>
    </w:p>
    <w:p w:rsidR="00404E9E" w:rsidRPr="007A598F" w:rsidRDefault="00404E9E" w:rsidP="009C7C8C">
      <w:pPr>
        <w:numPr>
          <w:ilvl w:val="0"/>
          <w:numId w:val="5"/>
        </w:numPr>
        <w:spacing w:after="0" w:line="240" w:lineRule="auto"/>
        <w:jc w:val="both"/>
        <w:rPr>
          <w:rFonts w:asciiTheme="minorHAnsi" w:hAnsiTheme="minorHAnsi"/>
        </w:rPr>
      </w:pPr>
      <w:r w:rsidRPr="007A598F">
        <w:rPr>
          <w:rFonts w:asciiTheme="minorHAnsi" w:hAnsiTheme="minorHAnsi"/>
        </w:rPr>
        <w:t>Revidirati po</w:t>
      </w:r>
      <w:r w:rsidR="000875BB">
        <w:rPr>
          <w:rFonts w:asciiTheme="minorHAnsi" w:hAnsiTheme="minorHAnsi"/>
        </w:rPr>
        <w:t>stojeći sustav nagrađivanja u Hrvatskoj Lutriji</w:t>
      </w:r>
      <w:r w:rsidRPr="007A598F">
        <w:rPr>
          <w:rFonts w:asciiTheme="minorHAnsi" w:hAnsiTheme="minorHAnsi"/>
        </w:rPr>
        <w:t xml:space="preserve"> i dobiti odobrenje za novi koncept:</w:t>
      </w:r>
    </w:p>
    <w:p w:rsidR="00404E9E" w:rsidRPr="007A598F" w:rsidRDefault="00404E9E" w:rsidP="009C7C8C">
      <w:pPr>
        <w:numPr>
          <w:ilvl w:val="1"/>
          <w:numId w:val="5"/>
        </w:numPr>
        <w:spacing w:after="0" w:line="240" w:lineRule="auto"/>
        <w:jc w:val="both"/>
        <w:rPr>
          <w:rFonts w:asciiTheme="minorHAnsi" w:hAnsiTheme="minorHAnsi"/>
        </w:rPr>
      </w:pPr>
      <w:r w:rsidRPr="007A598F">
        <w:rPr>
          <w:rFonts w:asciiTheme="minorHAnsi" w:hAnsiTheme="minorHAnsi"/>
        </w:rPr>
        <w:t>Revidirati sustav ocjenjivanja te sustav nagrađivanja i motivacije zaposlenika u prodaji i izvan prodaje (središnje funkcije).</w:t>
      </w:r>
    </w:p>
    <w:p w:rsidR="00404E9E" w:rsidRPr="007A598F" w:rsidRDefault="00404E9E" w:rsidP="009C7C8C">
      <w:pPr>
        <w:numPr>
          <w:ilvl w:val="1"/>
          <w:numId w:val="5"/>
        </w:numPr>
        <w:spacing w:after="0" w:line="240" w:lineRule="auto"/>
        <w:jc w:val="both"/>
        <w:rPr>
          <w:rFonts w:asciiTheme="minorHAnsi" w:hAnsiTheme="minorHAnsi"/>
        </w:rPr>
      </w:pPr>
      <w:r w:rsidRPr="007A598F">
        <w:rPr>
          <w:rFonts w:asciiTheme="minorHAnsi" w:hAnsiTheme="minorHAnsi"/>
        </w:rPr>
        <w:t>Definirati model za projektno nagrađivanje.</w:t>
      </w:r>
    </w:p>
    <w:p w:rsidR="00404E9E" w:rsidRPr="007A598F" w:rsidRDefault="00404E9E" w:rsidP="009C7C8C">
      <w:pPr>
        <w:numPr>
          <w:ilvl w:val="0"/>
          <w:numId w:val="5"/>
        </w:numPr>
        <w:spacing w:after="0" w:line="240" w:lineRule="auto"/>
        <w:jc w:val="both"/>
        <w:rPr>
          <w:rFonts w:asciiTheme="minorHAnsi" w:hAnsiTheme="minorHAnsi"/>
        </w:rPr>
      </w:pPr>
      <w:r w:rsidRPr="007A598F">
        <w:rPr>
          <w:rFonts w:asciiTheme="minorHAnsi" w:hAnsiTheme="minorHAnsi"/>
        </w:rPr>
        <w:t>Informatizacija HR procesa – implementacija novog alata/platforme</w:t>
      </w:r>
    </w:p>
    <w:p w:rsidR="00404E9E" w:rsidRPr="007A598F" w:rsidRDefault="00404E9E" w:rsidP="009C7C8C">
      <w:pPr>
        <w:numPr>
          <w:ilvl w:val="0"/>
          <w:numId w:val="5"/>
        </w:numPr>
        <w:spacing w:after="0" w:line="240" w:lineRule="auto"/>
        <w:jc w:val="both"/>
        <w:rPr>
          <w:rFonts w:asciiTheme="minorHAnsi" w:hAnsiTheme="minorHAnsi"/>
        </w:rPr>
      </w:pPr>
      <w:r w:rsidRPr="007A598F">
        <w:rPr>
          <w:rFonts w:asciiTheme="minorHAnsi" w:hAnsiTheme="minorHAnsi"/>
        </w:rPr>
        <w:t>Kontinuirano praćenje rezultata sustava nagrađivanja i potrebne adaptacije.</w:t>
      </w:r>
    </w:p>
    <w:p w:rsidR="000F70FE" w:rsidRPr="007A598F" w:rsidRDefault="000F70FE" w:rsidP="00404E9E">
      <w:pPr>
        <w:jc w:val="both"/>
        <w:rPr>
          <w:rFonts w:asciiTheme="minorHAnsi" w:hAnsiTheme="minorHAnsi"/>
        </w:rPr>
      </w:pPr>
    </w:p>
    <w:p w:rsidR="00D24FCA" w:rsidRPr="00D24FCA" w:rsidRDefault="00EE08E5" w:rsidP="00D24FCA">
      <w:pPr>
        <w:jc w:val="both"/>
        <w:rPr>
          <w:rFonts w:asciiTheme="minorHAnsi" w:hAnsiTheme="minorHAnsi"/>
        </w:rPr>
      </w:pPr>
      <w:r>
        <w:rPr>
          <w:rFonts w:asciiTheme="minorHAnsi" w:hAnsiTheme="minorHAnsi"/>
        </w:rPr>
        <w:t xml:space="preserve">Od listopada 2018. godine u primjeni je </w:t>
      </w:r>
      <w:r w:rsidR="00404E9E" w:rsidRPr="007A598F">
        <w:rPr>
          <w:rFonts w:asciiTheme="minorHAnsi" w:hAnsiTheme="minorHAnsi"/>
        </w:rPr>
        <w:t>nov</w:t>
      </w:r>
      <w:r>
        <w:rPr>
          <w:rFonts w:asciiTheme="minorHAnsi" w:hAnsiTheme="minorHAnsi"/>
        </w:rPr>
        <w:t>i</w:t>
      </w:r>
      <w:r w:rsidR="00404E9E" w:rsidRPr="007A598F">
        <w:rPr>
          <w:rFonts w:asciiTheme="minorHAnsi" w:hAnsiTheme="minorHAnsi"/>
        </w:rPr>
        <w:t xml:space="preserve"> model nagrađivanj</w:t>
      </w:r>
      <w:r w:rsidR="00314618">
        <w:rPr>
          <w:rFonts w:asciiTheme="minorHAnsi" w:hAnsiTheme="minorHAnsi"/>
        </w:rPr>
        <w:t>a</w:t>
      </w:r>
      <w:r w:rsidR="00404E9E" w:rsidRPr="007A598F">
        <w:rPr>
          <w:rFonts w:asciiTheme="minorHAnsi" w:hAnsiTheme="minorHAnsi"/>
        </w:rPr>
        <w:t xml:space="preserve"> </w:t>
      </w:r>
      <w:r>
        <w:rPr>
          <w:rFonts w:asciiTheme="minorHAnsi" w:hAnsiTheme="minorHAnsi"/>
        </w:rPr>
        <w:t xml:space="preserve">zaposlenika u prodaji, a izrađen je i </w:t>
      </w:r>
      <w:r w:rsidR="00404E9E" w:rsidRPr="007A598F">
        <w:rPr>
          <w:rFonts w:asciiTheme="minorHAnsi" w:hAnsiTheme="minorHAnsi"/>
        </w:rPr>
        <w:t xml:space="preserve"> koncept informatizacije HR procesa</w:t>
      </w:r>
      <w:r>
        <w:rPr>
          <w:rFonts w:asciiTheme="minorHAnsi" w:hAnsiTheme="minorHAnsi"/>
        </w:rPr>
        <w:t>.</w:t>
      </w:r>
      <w:r w:rsidR="00404E9E" w:rsidRPr="007A598F">
        <w:rPr>
          <w:rFonts w:asciiTheme="minorHAnsi" w:hAnsiTheme="minorHAnsi"/>
        </w:rPr>
        <w:t xml:space="preserve"> </w:t>
      </w:r>
      <w:r w:rsidR="00D24FCA">
        <w:rPr>
          <w:rFonts w:asciiTheme="minorHAnsi" w:hAnsiTheme="minorHAnsi"/>
        </w:rPr>
        <w:t xml:space="preserve">Također, </w:t>
      </w:r>
      <w:r w:rsidR="00D24FCA" w:rsidRPr="00D24FCA">
        <w:rPr>
          <w:rFonts w:asciiTheme="minorHAnsi" w:hAnsiTheme="minorHAnsi"/>
        </w:rPr>
        <w:t>u 2018. godini započ</w:t>
      </w:r>
      <w:r w:rsidR="00D24FCA">
        <w:rPr>
          <w:rFonts w:asciiTheme="minorHAnsi" w:hAnsiTheme="minorHAnsi"/>
        </w:rPr>
        <w:t>ele su</w:t>
      </w:r>
      <w:r w:rsidR="00D24FCA" w:rsidRPr="00D24FCA">
        <w:rPr>
          <w:rFonts w:asciiTheme="minorHAnsi" w:hAnsiTheme="minorHAnsi"/>
        </w:rPr>
        <w:t xml:space="preserve"> pripremne aktivnosti vezane za nabavu HR alata, točnije nabavu cjelovitog integriranog HR programskog rješenja. Cjelokupno integrirano HR programsko rješenje kroz uvođenje nove aplikacije za podršku procesima ljudskih resursa, nužno je radi upravljanja kvalitetom i efikasnošću razvojnih funkcija ljudskih potencijala u Društvu (upravljanja sustavom zapošljavanja, upravljanja ciljevima i učinkom, upravljanje sustavom nagrađivanja, pregled potencijala, planiranje sukcesije, upravljanja edukacijama, kompetencijama, i karijerom). Uz uvođenje programskog rješenja postići će se optimizacija poslovnih procesa: prikupljanje informacija o postojećim poslovnim procesima unutar Društva, te unapređenje i segmenata potrebnih za daljnje unapređenje poslovanja kako bi se što bolje i efikasnije projektirala podrška i optimizirali poslovni procesi unutar ljudskih potencijala.</w:t>
      </w:r>
    </w:p>
    <w:p w:rsidR="00D24FCA" w:rsidRDefault="00D24FCA" w:rsidP="00D24FCA">
      <w:pPr>
        <w:jc w:val="both"/>
        <w:rPr>
          <w:rFonts w:asciiTheme="minorHAnsi" w:hAnsiTheme="minorHAnsi"/>
        </w:rPr>
      </w:pPr>
    </w:p>
    <w:p w:rsidR="00404E9E" w:rsidRPr="006B4D69" w:rsidRDefault="00404E9E" w:rsidP="009C7C8C">
      <w:pPr>
        <w:pStyle w:val="ListParagraph"/>
        <w:numPr>
          <w:ilvl w:val="0"/>
          <w:numId w:val="14"/>
        </w:numPr>
        <w:jc w:val="both"/>
        <w:rPr>
          <w:rFonts w:asciiTheme="minorHAnsi" w:hAnsiTheme="minorHAnsi"/>
          <w:b/>
        </w:rPr>
      </w:pPr>
      <w:r w:rsidRPr="006B4D69">
        <w:rPr>
          <w:rFonts w:asciiTheme="minorHAnsi" w:hAnsiTheme="minorHAnsi"/>
          <w:b/>
        </w:rPr>
        <w:t>Uvođenje funkcije voditelja proizvoda/kanala</w:t>
      </w:r>
    </w:p>
    <w:p w:rsidR="00404E9E" w:rsidRPr="007A598F" w:rsidRDefault="00404E9E" w:rsidP="00404E9E">
      <w:pPr>
        <w:jc w:val="both"/>
        <w:rPr>
          <w:rFonts w:asciiTheme="minorHAnsi" w:hAnsiTheme="minorHAnsi"/>
          <w:b/>
          <w:bCs/>
        </w:rPr>
      </w:pPr>
      <w:r w:rsidRPr="007A598F">
        <w:rPr>
          <w:rFonts w:asciiTheme="minorHAnsi" w:hAnsiTheme="minorHAnsi"/>
        </w:rPr>
        <w:t>Cilj inicijative je unaprjeđenje i sistematizacija sustava upravljanja razvojem</w:t>
      </w:r>
      <w:r w:rsidR="00C04E1B">
        <w:rPr>
          <w:rFonts w:asciiTheme="minorHAnsi" w:hAnsiTheme="minorHAnsi"/>
        </w:rPr>
        <w:t xml:space="preserve"> proizvoda</w:t>
      </w:r>
      <w:r w:rsidRPr="007A598F">
        <w:rPr>
          <w:rFonts w:asciiTheme="minorHAnsi" w:hAnsiTheme="minorHAnsi"/>
        </w:rPr>
        <w:t xml:space="preserve"> i uvođenjem funkcija voditelja proizvoda. U okviru ove inicijative predviđa se i uvođenje funkcije voditelja kanala prodaje.</w:t>
      </w:r>
      <w:r w:rsidRPr="007A598F">
        <w:rPr>
          <w:rFonts w:asciiTheme="minorHAnsi" w:hAnsiTheme="minorHAnsi"/>
          <w:b/>
          <w:bCs/>
        </w:rPr>
        <w:t xml:space="preserve">  </w:t>
      </w:r>
    </w:p>
    <w:p w:rsidR="00404E9E" w:rsidRPr="007A598F" w:rsidRDefault="00404E9E" w:rsidP="00404E9E">
      <w:pPr>
        <w:jc w:val="both"/>
        <w:rPr>
          <w:rFonts w:asciiTheme="minorHAnsi" w:hAnsiTheme="minorHAnsi"/>
        </w:rPr>
      </w:pPr>
      <w:r w:rsidRPr="007A598F">
        <w:rPr>
          <w:rFonts w:asciiTheme="minorHAnsi" w:hAnsiTheme="minorHAnsi"/>
        </w:rPr>
        <w:t>Voditelj proizvoda/kanala odgovoran je za financijski učinak igre, a potrebno ga je stimulirati na osnovu ostvarenih rezultata.</w:t>
      </w:r>
    </w:p>
    <w:p w:rsidR="00404E9E" w:rsidRDefault="00404E9E" w:rsidP="00404E9E">
      <w:pPr>
        <w:jc w:val="both"/>
        <w:rPr>
          <w:rFonts w:asciiTheme="minorHAnsi" w:hAnsiTheme="minorHAnsi"/>
        </w:rPr>
      </w:pPr>
      <w:r w:rsidRPr="007A598F">
        <w:rPr>
          <w:rFonts w:asciiTheme="minorHAnsi" w:hAnsiTheme="minorHAnsi"/>
        </w:rPr>
        <w:t>U 2018. god</w:t>
      </w:r>
      <w:r w:rsidR="00092BB7">
        <w:rPr>
          <w:rFonts w:asciiTheme="minorHAnsi" w:hAnsiTheme="minorHAnsi"/>
        </w:rPr>
        <w:t>i</w:t>
      </w:r>
      <w:r w:rsidRPr="007A598F">
        <w:rPr>
          <w:rFonts w:asciiTheme="minorHAnsi" w:hAnsiTheme="minorHAnsi"/>
        </w:rPr>
        <w:t xml:space="preserve">ni </w:t>
      </w:r>
      <w:r w:rsidR="00D24FCA">
        <w:rPr>
          <w:rFonts w:asciiTheme="minorHAnsi" w:hAnsiTheme="minorHAnsi"/>
        </w:rPr>
        <w:t>napravljene su</w:t>
      </w:r>
      <w:r w:rsidRPr="007A598F">
        <w:rPr>
          <w:rFonts w:asciiTheme="minorHAnsi" w:hAnsiTheme="minorHAnsi"/>
        </w:rPr>
        <w:t xml:space="preserve"> izmjene sistematizacije</w:t>
      </w:r>
      <w:r w:rsidR="00D24FCA">
        <w:rPr>
          <w:rFonts w:asciiTheme="minorHAnsi" w:hAnsiTheme="minorHAnsi"/>
        </w:rPr>
        <w:t xml:space="preserve">, kao preduvjet za </w:t>
      </w:r>
      <w:r w:rsidRPr="007A598F">
        <w:rPr>
          <w:rFonts w:asciiTheme="minorHAnsi" w:hAnsiTheme="minorHAnsi"/>
        </w:rPr>
        <w:t>uv</w:t>
      </w:r>
      <w:r w:rsidR="00CF4AC4">
        <w:rPr>
          <w:rFonts w:asciiTheme="minorHAnsi" w:hAnsiTheme="minorHAnsi"/>
        </w:rPr>
        <w:t xml:space="preserve">ođenje navedenih radnih mjesta. </w:t>
      </w:r>
    </w:p>
    <w:p w:rsidR="00D24FCA" w:rsidRPr="007A598F" w:rsidRDefault="00D24FCA" w:rsidP="00404E9E">
      <w:pPr>
        <w:jc w:val="both"/>
        <w:rPr>
          <w:rFonts w:asciiTheme="minorHAnsi" w:hAnsiTheme="minorHAnsi"/>
        </w:rPr>
      </w:pPr>
    </w:p>
    <w:p w:rsidR="00404E9E" w:rsidRPr="006B4D69" w:rsidRDefault="00404E9E" w:rsidP="009C7C8C">
      <w:pPr>
        <w:pStyle w:val="ListParagraph"/>
        <w:numPr>
          <w:ilvl w:val="0"/>
          <w:numId w:val="14"/>
        </w:numPr>
        <w:jc w:val="both"/>
        <w:rPr>
          <w:rFonts w:asciiTheme="minorHAnsi" w:hAnsiTheme="minorHAnsi"/>
          <w:b/>
        </w:rPr>
      </w:pPr>
      <w:r w:rsidRPr="006B4D69">
        <w:rPr>
          <w:rFonts w:asciiTheme="minorHAnsi" w:hAnsiTheme="minorHAnsi"/>
          <w:b/>
        </w:rPr>
        <w:t>Razvoj i zadržavanje zaposlenika</w:t>
      </w:r>
    </w:p>
    <w:p w:rsidR="00404E9E" w:rsidRPr="007A598F" w:rsidRDefault="00404E9E" w:rsidP="00404E9E">
      <w:pPr>
        <w:jc w:val="both"/>
        <w:rPr>
          <w:rFonts w:asciiTheme="minorHAnsi" w:hAnsiTheme="minorHAnsi"/>
        </w:rPr>
      </w:pPr>
      <w:r w:rsidRPr="007A598F">
        <w:rPr>
          <w:rFonts w:asciiTheme="minorHAnsi" w:hAnsiTheme="minorHAnsi"/>
        </w:rPr>
        <w:t xml:space="preserve">Cilj inicijative je stvoriti formalni okvir za razvoj karijera, a s ciljem zadržavanja ključnih zaposlenika i osiguranje prijenosa znanja kroz sustav mentorstva. </w:t>
      </w:r>
    </w:p>
    <w:p w:rsidR="00404E9E" w:rsidRPr="007A598F" w:rsidRDefault="00404E9E" w:rsidP="00404E9E">
      <w:pPr>
        <w:jc w:val="both"/>
        <w:rPr>
          <w:rFonts w:asciiTheme="minorHAnsi" w:hAnsiTheme="minorHAnsi"/>
        </w:rPr>
      </w:pPr>
      <w:r w:rsidRPr="007A598F">
        <w:rPr>
          <w:rFonts w:asciiTheme="minorHAnsi" w:hAnsiTheme="minorHAnsi"/>
        </w:rPr>
        <w:lastRenderedPageBreak/>
        <w:t>U 201</w:t>
      </w:r>
      <w:r w:rsidR="00D24FCA">
        <w:rPr>
          <w:rFonts w:asciiTheme="minorHAnsi" w:hAnsiTheme="minorHAnsi"/>
        </w:rPr>
        <w:t>9</w:t>
      </w:r>
      <w:r w:rsidRPr="007A598F">
        <w:rPr>
          <w:rFonts w:asciiTheme="minorHAnsi" w:hAnsiTheme="minorHAnsi"/>
        </w:rPr>
        <w:t>. godini u planu je definirati plan razvoja zaposlenika, identificirati talente i plan nasljeđivanja te definirati plan zadržavanja ključnih zaposlenika.</w:t>
      </w:r>
    </w:p>
    <w:p w:rsidR="008F69AB" w:rsidRPr="00CD3AA4" w:rsidRDefault="00404E9E" w:rsidP="00CD3AA4">
      <w:pPr>
        <w:jc w:val="both"/>
        <w:rPr>
          <w:rFonts w:asciiTheme="minorHAnsi" w:hAnsiTheme="minorHAnsi"/>
        </w:rPr>
      </w:pPr>
      <w:r w:rsidRPr="007A598F">
        <w:rPr>
          <w:rFonts w:asciiTheme="minorHAnsi" w:hAnsiTheme="minorHAnsi"/>
        </w:rPr>
        <w:t xml:space="preserve">U cilju poboljšanja dobne i </w:t>
      </w:r>
      <w:r w:rsidR="00092BB7" w:rsidRPr="007A598F">
        <w:rPr>
          <w:rFonts w:asciiTheme="minorHAnsi" w:hAnsiTheme="minorHAnsi"/>
        </w:rPr>
        <w:t>kvalifikacijske</w:t>
      </w:r>
      <w:r w:rsidRPr="007A598F">
        <w:rPr>
          <w:rFonts w:asciiTheme="minorHAnsi" w:hAnsiTheme="minorHAnsi"/>
        </w:rPr>
        <w:t xml:space="preserve"> strukture u H</w:t>
      </w:r>
      <w:r w:rsidR="000875BB">
        <w:rPr>
          <w:rFonts w:asciiTheme="minorHAnsi" w:hAnsiTheme="minorHAnsi"/>
        </w:rPr>
        <w:t xml:space="preserve">rvatskoj </w:t>
      </w:r>
      <w:r w:rsidRPr="007A598F">
        <w:rPr>
          <w:rFonts w:asciiTheme="minorHAnsi" w:hAnsiTheme="minorHAnsi"/>
        </w:rPr>
        <w:t>L</w:t>
      </w:r>
      <w:r w:rsidR="000875BB">
        <w:rPr>
          <w:rFonts w:asciiTheme="minorHAnsi" w:hAnsiTheme="minorHAnsi"/>
        </w:rPr>
        <w:t>utriji</w:t>
      </w:r>
      <w:r w:rsidRPr="007A598F">
        <w:rPr>
          <w:rFonts w:asciiTheme="minorHAnsi" w:hAnsiTheme="minorHAnsi"/>
        </w:rPr>
        <w:t xml:space="preserve"> nastavit će se s programom </w:t>
      </w:r>
      <w:r w:rsidR="00314618">
        <w:rPr>
          <w:rFonts w:asciiTheme="minorHAnsi" w:hAnsiTheme="minorHAnsi"/>
        </w:rPr>
        <w:t>zbrinjavanja putem</w:t>
      </w:r>
      <w:r w:rsidR="000875BB">
        <w:rPr>
          <w:rFonts w:asciiTheme="minorHAnsi" w:hAnsiTheme="minorHAnsi"/>
        </w:rPr>
        <w:t xml:space="preserve"> poticajnih</w:t>
      </w:r>
      <w:r w:rsidR="00314618">
        <w:rPr>
          <w:rFonts w:asciiTheme="minorHAnsi" w:hAnsiTheme="minorHAnsi"/>
        </w:rPr>
        <w:t xml:space="preserve"> </w:t>
      </w:r>
      <w:r w:rsidRPr="007A598F">
        <w:rPr>
          <w:rFonts w:asciiTheme="minorHAnsi" w:hAnsiTheme="minorHAnsi"/>
        </w:rPr>
        <w:t>otpremnina.</w:t>
      </w:r>
    </w:p>
    <w:p w:rsidR="008F69AB" w:rsidRDefault="004C1C4C" w:rsidP="008F69AB">
      <w:pPr>
        <w:pStyle w:val="Heading1"/>
        <w:numPr>
          <w:ilvl w:val="1"/>
          <w:numId w:val="16"/>
        </w:numPr>
        <w:jc w:val="both"/>
        <w:rPr>
          <w:rFonts w:ascii="Calibri" w:hAnsi="Calibri" w:cs="Calibri"/>
          <w:sz w:val="28"/>
          <w:szCs w:val="28"/>
        </w:rPr>
      </w:pPr>
      <w:bookmarkStart w:id="20" w:name="_Toc533660866"/>
      <w:r>
        <w:rPr>
          <w:rFonts w:ascii="Calibri" w:hAnsi="Calibri" w:cs="Calibri"/>
          <w:sz w:val="28"/>
          <w:szCs w:val="28"/>
        </w:rPr>
        <w:t>Strateški rizici i analiz</w:t>
      </w:r>
      <w:r w:rsidR="007C032D">
        <w:rPr>
          <w:rFonts w:ascii="Calibri" w:hAnsi="Calibri" w:cs="Calibri"/>
          <w:sz w:val="28"/>
          <w:szCs w:val="28"/>
        </w:rPr>
        <w:t>e</w:t>
      </w:r>
      <w:r>
        <w:rPr>
          <w:rFonts w:ascii="Calibri" w:hAnsi="Calibri" w:cs="Calibri"/>
          <w:sz w:val="28"/>
          <w:szCs w:val="28"/>
        </w:rPr>
        <w:t xml:space="preserve"> tehnologije i trendova</w:t>
      </w:r>
      <w:bookmarkEnd w:id="20"/>
    </w:p>
    <w:p w:rsidR="008F69AB" w:rsidRPr="00174A1D" w:rsidRDefault="008F69AB" w:rsidP="008F69AB">
      <w:pPr>
        <w:rPr>
          <w:rFonts w:eastAsia="SimSun"/>
        </w:rPr>
      </w:pPr>
    </w:p>
    <w:p w:rsidR="008F69AB" w:rsidRDefault="008F69AB" w:rsidP="008F69AB">
      <w:pPr>
        <w:pStyle w:val="Heading1"/>
        <w:numPr>
          <w:ilvl w:val="2"/>
          <w:numId w:val="16"/>
        </w:numPr>
        <w:jc w:val="both"/>
        <w:rPr>
          <w:rFonts w:ascii="Calibri" w:hAnsi="Calibri" w:cs="Calibri"/>
          <w:sz w:val="28"/>
          <w:szCs w:val="28"/>
        </w:rPr>
      </w:pPr>
      <w:bookmarkStart w:id="21" w:name="_Toc533660867"/>
      <w:r>
        <w:rPr>
          <w:rFonts w:ascii="Calibri" w:hAnsi="Calibri" w:cs="Calibri"/>
          <w:sz w:val="28"/>
          <w:szCs w:val="28"/>
        </w:rPr>
        <w:t>Ključni strateški rizici</w:t>
      </w:r>
      <w:bookmarkEnd w:id="21"/>
      <w:r>
        <w:rPr>
          <w:rFonts w:ascii="Calibri" w:hAnsi="Calibri" w:cs="Calibri"/>
          <w:sz w:val="28"/>
          <w:szCs w:val="28"/>
        </w:rPr>
        <w:t xml:space="preserve"> </w:t>
      </w:r>
    </w:p>
    <w:p w:rsidR="00D50D81" w:rsidRDefault="00D50D81" w:rsidP="00D50D81"/>
    <w:p w:rsidR="008F69AB" w:rsidRPr="00D50D81" w:rsidRDefault="008F69AB" w:rsidP="00D50D81">
      <w:r>
        <w:t xml:space="preserve">U provođenju </w:t>
      </w:r>
      <w:r w:rsidR="00012909">
        <w:t>strateških inicijativa, Hrvatskoj Lutriji kao prijetnju predstavljaju sljedeći rizici:</w:t>
      </w:r>
      <w:r>
        <w:t xml:space="preserve"> </w:t>
      </w:r>
    </w:p>
    <w:tbl>
      <w:tblPr>
        <w:tblStyle w:val="GridTable1Light-Accent1"/>
        <w:tblW w:w="0" w:type="auto"/>
        <w:tblLook w:val="04A0" w:firstRow="1" w:lastRow="0" w:firstColumn="1" w:lastColumn="0" w:noHBand="0" w:noVBand="1"/>
      </w:tblPr>
      <w:tblGrid>
        <w:gridCol w:w="561"/>
        <w:gridCol w:w="2836"/>
        <w:gridCol w:w="3828"/>
        <w:gridCol w:w="1392"/>
        <w:gridCol w:w="1012"/>
      </w:tblGrid>
      <w:tr w:rsidR="008F69AB" w:rsidTr="008F69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gridSpan w:val="2"/>
          </w:tcPr>
          <w:p w:rsidR="008F69AB" w:rsidRDefault="008F69AB" w:rsidP="008F69AB">
            <w:pPr>
              <w:jc w:val="both"/>
              <w:rPr>
                <w:rFonts w:asciiTheme="minorHAnsi" w:hAnsiTheme="minorHAnsi" w:cstheme="minorHAnsi"/>
              </w:rPr>
            </w:pPr>
            <w:r>
              <w:rPr>
                <w:rFonts w:asciiTheme="minorHAnsi" w:hAnsiTheme="minorHAnsi" w:cstheme="minorHAnsi"/>
              </w:rPr>
              <w:t>Područje i ključni elementi rizika</w:t>
            </w:r>
          </w:p>
        </w:tc>
        <w:tc>
          <w:tcPr>
            <w:tcW w:w="3828" w:type="dxa"/>
          </w:tcPr>
          <w:p w:rsidR="008F69AB" w:rsidRDefault="008F69AB" w:rsidP="008F69AB">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Opis rizika</w:t>
            </w:r>
          </w:p>
        </w:tc>
        <w:tc>
          <w:tcPr>
            <w:tcW w:w="1392" w:type="dxa"/>
          </w:tcPr>
          <w:p w:rsidR="008F69AB" w:rsidRDefault="008F69AB" w:rsidP="008F69AB">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Vjerojatnost nastanka</w:t>
            </w:r>
          </w:p>
        </w:tc>
        <w:tc>
          <w:tcPr>
            <w:tcW w:w="1012" w:type="dxa"/>
          </w:tcPr>
          <w:p w:rsidR="008F69AB" w:rsidRDefault="008F69AB" w:rsidP="008F69AB">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 / Učinak</w:t>
            </w:r>
          </w:p>
        </w:tc>
      </w:tr>
      <w:tr w:rsidR="008F69AB" w:rsidTr="008F69AB">
        <w:tc>
          <w:tcPr>
            <w:cnfStyle w:val="001000000000" w:firstRow="0" w:lastRow="0" w:firstColumn="1" w:lastColumn="0" w:oddVBand="0" w:evenVBand="0" w:oddHBand="0" w:evenHBand="0" w:firstRowFirstColumn="0" w:firstRowLastColumn="0" w:lastRowFirstColumn="0" w:lastRowLastColumn="0"/>
            <w:tcW w:w="561" w:type="dxa"/>
            <w:vMerge w:val="restart"/>
          </w:tcPr>
          <w:p w:rsidR="008F69AB" w:rsidRDefault="008F69AB" w:rsidP="008F69AB">
            <w:pPr>
              <w:jc w:val="both"/>
              <w:rPr>
                <w:rFonts w:asciiTheme="minorHAnsi" w:hAnsiTheme="minorHAnsi" w:cstheme="minorHAnsi"/>
              </w:rPr>
            </w:pPr>
            <w:r>
              <w:rPr>
                <w:rFonts w:asciiTheme="minorHAnsi" w:hAnsiTheme="minorHAnsi" w:cstheme="minorHAnsi"/>
              </w:rPr>
              <w:t>1.</w:t>
            </w:r>
          </w:p>
        </w:tc>
        <w:tc>
          <w:tcPr>
            <w:tcW w:w="2836"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Regulatorne promjene – segment tržišnih igara</w:t>
            </w:r>
          </w:p>
        </w:tc>
        <w:tc>
          <w:tcPr>
            <w:tcW w:w="3828"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Promjena RH zakonodavnog okvira koji će rezultirati:</w:t>
            </w:r>
          </w:p>
          <w:p w:rsidR="008F69AB" w:rsidRDefault="008F69AB" w:rsidP="008F69A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Modelom legalizacije on-line priređivača igara na sreću ili</w:t>
            </w:r>
          </w:p>
          <w:p w:rsidR="008F69AB" w:rsidRPr="00220B0F" w:rsidRDefault="008F69AB" w:rsidP="008F69A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Da se na tržištu pojave novi konkurenti (domaći ili strani)</w:t>
            </w:r>
          </w:p>
        </w:tc>
        <w:tc>
          <w:tcPr>
            <w:tcW w:w="139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Velika (vjerojatno)</w:t>
            </w:r>
          </w:p>
        </w:tc>
        <w:tc>
          <w:tcPr>
            <w:tcW w:w="101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8F69AB" w:rsidTr="008F69AB">
        <w:tc>
          <w:tcPr>
            <w:cnfStyle w:val="001000000000" w:firstRow="0" w:lastRow="0" w:firstColumn="1" w:lastColumn="0" w:oddVBand="0" w:evenVBand="0" w:oddHBand="0" w:evenHBand="0" w:firstRowFirstColumn="0" w:firstRowLastColumn="0" w:lastRowFirstColumn="0" w:lastRowLastColumn="0"/>
            <w:tcW w:w="561" w:type="dxa"/>
            <w:vMerge/>
          </w:tcPr>
          <w:p w:rsidR="008F69AB" w:rsidRDefault="008F69AB" w:rsidP="008F69AB">
            <w:pPr>
              <w:jc w:val="both"/>
              <w:rPr>
                <w:rFonts w:asciiTheme="minorHAnsi" w:hAnsiTheme="minorHAnsi" w:cstheme="minorHAnsi"/>
              </w:rPr>
            </w:pPr>
          </w:p>
        </w:tc>
        <w:tc>
          <w:tcPr>
            <w:tcW w:w="2836"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Regulatorne promjene – segment lutrijskih igara</w:t>
            </w:r>
          </w:p>
        </w:tc>
        <w:tc>
          <w:tcPr>
            <w:tcW w:w="3828"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Mogućnosti promjene RH zakonodavnog okvira koji će rezultirati ulaskom konkurencije u segment lutrijskih igara</w:t>
            </w:r>
          </w:p>
        </w:tc>
        <w:tc>
          <w:tcPr>
            <w:tcW w:w="139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Mala (rijetko)</w:t>
            </w:r>
          </w:p>
        </w:tc>
        <w:tc>
          <w:tcPr>
            <w:tcW w:w="101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8F69AB" w:rsidTr="008F69AB">
        <w:tc>
          <w:tcPr>
            <w:cnfStyle w:val="001000000000" w:firstRow="0" w:lastRow="0" w:firstColumn="1" w:lastColumn="0" w:oddVBand="0" w:evenVBand="0" w:oddHBand="0" w:evenHBand="0" w:firstRowFirstColumn="0" w:firstRowLastColumn="0" w:lastRowFirstColumn="0" w:lastRowLastColumn="0"/>
            <w:tcW w:w="561" w:type="dxa"/>
            <w:vMerge w:val="restart"/>
          </w:tcPr>
          <w:p w:rsidR="008F69AB" w:rsidRDefault="008F69AB" w:rsidP="008F69AB">
            <w:pPr>
              <w:jc w:val="both"/>
              <w:rPr>
                <w:rFonts w:asciiTheme="minorHAnsi" w:hAnsiTheme="minorHAnsi" w:cstheme="minorHAnsi"/>
              </w:rPr>
            </w:pPr>
            <w:r>
              <w:rPr>
                <w:rFonts w:asciiTheme="minorHAnsi" w:hAnsiTheme="minorHAnsi" w:cstheme="minorHAnsi"/>
              </w:rPr>
              <w:t>2.</w:t>
            </w:r>
          </w:p>
        </w:tc>
        <w:tc>
          <w:tcPr>
            <w:tcW w:w="2836"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Razvoj i utjecaj konkurencije – konkurencija, neovisno o regulatornim promjenama</w:t>
            </w:r>
          </w:p>
        </w:tc>
        <w:tc>
          <w:tcPr>
            <w:tcW w:w="3828"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Osim ulaska novih igrača na tržište:</w:t>
            </w:r>
          </w:p>
          <w:p w:rsidR="008F69AB" w:rsidRDefault="008F69AB" w:rsidP="008F69AB">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Okrupnjivanje postojećih konkurenata na tržištu (akvizicije, spajanja);</w:t>
            </w:r>
          </w:p>
          <w:p w:rsidR="008F69AB" w:rsidRDefault="008F69AB" w:rsidP="008F69AB">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Nova strateška partnerstva sa stranim priređivačima igara na sreću;</w:t>
            </w:r>
          </w:p>
          <w:p w:rsidR="008F69AB" w:rsidRPr="00E63F96" w:rsidRDefault="008F69AB" w:rsidP="008F69AB">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Bolja ponuda postojećih konkurenata</w:t>
            </w:r>
          </w:p>
        </w:tc>
        <w:tc>
          <w:tcPr>
            <w:tcW w:w="139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Vrlo vjerojatno </w:t>
            </w:r>
          </w:p>
        </w:tc>
        <w:tc>
          <w:tcPr>
            <w:tcW w:w="101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8F69AB" w:rsidTr="008F69AB">
        <w:tc>
          <w:tcPr>
            <w:cnfStyle w:val="001000000000" w:firstRow="0" w:lastRow="0" w:firstColumn="1" w:lastColumn="0" w:oddVBand="0" w:evenVBand="0" w:oddHBand="0" w:evenHBand="0" w:firstRowFirstColumn="0" w:firstRowLastColumn="0" w:lastRowFirstColumn="0" w:lastRowLastColumn="0"/>
            <w:tcW w:w="561" w:type="dxa"/>
            <w:vMerge/>
          </w:tcPr>
          <w:p w:rsidR="008F69AB" w:rsidRDefault="008F69AB" w:rsidP="008F69AB">
            <w:pPr>
              <w:jc w:val="both"/>
              <w:rPr>
                <w:rFonts w:asciiTheme="minorHAnsi" w:hAnsiTheme="minorHAnsi" w:cstheme="minorHAnsi"/>
              </w:rPr>
            </w:pPr>
          </w:p>
        </w:tc>
        <w:tc>
          <w:tcPr>
            <w:tcW w:w="2836"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Razvoj i utjecaj konkurencije – nelegalna / polulegalna konkurencija</w:t>
            </w:r>
          </w:p>
        </w:tc>
        <w:tc>
          <w:tcPr>
            <w:tcW w:w="3828"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U ovom slučaju, rizik uključuje neometani nastavak rada nelegalne konkurencije, odnosno izostanak zakonodavnih mjera / akcija za smanjenje pojave nelegalnog klađenja (na primjer)</w:t>
            </w:r>
          </w:p>
        </w:tc>
        <w:tc>
          <w:tcPr>
            <w:tcW w:w="139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Vrlo vjerojatno</w:t>
            </w:r>
          </w:p>
        </w:tc>
        <w:tc>
          <w:tcPr>
            <w:tcW w:w="101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8F69AB" w:rsidTr="008F69AB">
        <w:tc>
          <w:tcPr>
            <w:cnfStyle w:val="001000000000" w:firstRow="0" w:lastRow="0" w:firstColumn="1" w:lastColumn="0" w:oddVBand="0" w:evenVBand="0" w:oddHBand="0" w:evenHBand="0" w:firstRowFirstColumn="0" w:firstRowLastColumn="0" w:lastRowFirstColumn="0" w:lastRowLastColumn="0"/>
            <w:tcW w:w="561" w:type="dxa"/>
            <w:vMerge w:val="restart"/>
          </w:tcPr>
          <w:p w:rsidR="008F69AB" w:rsidRDefault="008F69AB" w:rsidP="008F69AB">
            <w:pPr>
              <w:jc w:val="both"/>
              <w:rPr>
                <w:rFonts w:asciiTheme="minorHAnsi" w:hAnsiTheme="minorHAnsi" w:cstheme="minorHAnsi"/>
              </w:rPr>
            </w:pPr>
            <w:r>
              <w:rPr>
                <w:rFonts w:asciiTheme="minorHAnsi" w:hAnsiTheme="minorHAnsi" w:cstheme="minorHAnsi"/>
              </w:rPr>
              <w:t>3.</w:t>
            </w:r>
          </w:p>
        </w:tc>
        <w:tc>
          <w:tcPr>
            <w:tcW w:w="2836"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Tehnološko zaostajanje Hrvatske Lutrije (u odnosu na konkurenciju) zbog fokusiranja na vlastiti razvoj</w:t>
            </w:r>
          </w:p>
        </w:tc>
        <w:tc>
          <w:tcPr>
            <w:tcW w:w="3828"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Izostanak prilagodbe postojeće IT / igračke infrastrukture potrebama tržišta i igrača zbog fokusiranja na vlastiti razvoj</w:t>
            </w:r>
          </w:p>
        </w:tc>
        <w:tc>
          <w:tcPr>
            <w:tcW w:w="139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Moguće</w:t>
            </w:r>
          </w:p>
        </w:tc>
        <w:tc>
          <w:tcPr>
            <w:tcW w:w="101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8F69AB" w:rsidTr="008F69AB">
        <w:tc>
          <w:tcPr>
            <w:cnfStyle w:val="001000000000" w:firstRow="0" w:lastRow="0" w:firstColumn="1" w:lastColumn="0" w:oddVBand="0" w:evenVBand="0" w:oddHBand="0" w:evenHBand="0" w:firstRowFirstColumn="0" w:firstRowLastColumn="0" w:lastRowFirstColumn="0" w:lastRowLastColumn="0"/>
            <w:tcW w:w="561" w:type="dxa"/>
            <w:vMerge/>
          </w:tcPr>
          <w:p w:rsidR="008F69AB" w:rsidRDefault="008F69AB" w:rsidP="008F69AB">
            <w:pPr>
              <w:jc w:val="both"/>
              <w:rPr>
                <w:rFonts w:asciiTheme="minorHAnsi" w:hAnsiTheme="minorHAnsi" w:cstheme="minorHAnsi"/>
              </w:rPr>
            </w:pPr>
          </w:p>
        </w:tc>
        <w:tc>
          <w:tcPr>
            <w:tcW w:w="2836"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Tehnološko zaostajanje Hrvatske Lutrije (u odnosu na konkurenciju) -problem procesa nabave</w:t>
            </w:r>
          </w:p>
        </w:tc>
        <w:tc>
          <w:tcPr>
            <w:tcW w:w="3828"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Izostanak prilagodbe postojeće IT / igračke infrastrukture potrebama tržišta i igrača zbog problema dugotrajnog procesa nabave, u situaciji kada konkurencija nije obveznik Zakona o javnoj nabavi</w:t>
            </w:r>
          </w:p>
        </w:tc>
        <w:tc>
          <w:tcPr>
            <w:tcW w:w="139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Vrlo vjerojatno</w:t>
            </w:r>
          </w:p>
        </w:tc>
        <w:tc>
          <w:tcPr>
            <w:tcW w:w="101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8F69AB" w:rsidTr="008F69AB">
        <w:tc>
          <w:tcPr>
            <w:cnfStyle w:val="001000000000" w:firstRow="0" w:lastRow="0" w:firstColumn="1" w:lastColumn="0" w:oddVBand="0" w:evenVBand="0" w:oddHBand="0" w:evenHBand="0" w:firstRowFirstColumn="0" w:firstRowLastColumn="0" w:lastRowFirstColumn="0" w:lastRowLastColumn="0"/>
            <w:tcW w:w="561" w:type="dxa"/>
            <w:vMerge w:val="restart"/>
          </w:tcPr>
          <w:p w:rsidR="008F69AB" w:rsidRDefault="008F69AB" w:rsidP="008F69AB">
            <w:pPr>
              <w:jc w:val="both"/>
              <w:rPr>
                <w:rFonts w:asciiTheme="minorHAnsi" w:hAnsiTheme="minorHAnsi" w:cstheme="minorHAnsi"/>
              </w:rPr>
            </w:pPr>
            <w:r>
              <w:rPr>
                <w:rFonts w:asciiTheme="minorHAnsi" w:hAnsiTheme="minorHAnsi" w:cstheme="minorHAnsi"/>
              </w:rPr>
              <w:t>4.</w:t>
            </w:r>
          </w:p>
        </w:tc>
        <w:tc>
          <w:tcPr>
            <w:tcW w:w="2836"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Interne neefikasnosti:</w:t>
            </w:r>
          </w:p>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Neadekvatna struktura / broj ljudskih resursa</w:t>
            </w:r>
          </w:p>
        </w:tc>
        <w:tc>
          <w:tcPr>
            <w:tcW w:w="3828"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Postojeći kapaciteti ljudskih resursa (primarno broj ključnih ljudi koji imaju specifična znanja iz industrije i razvoja proizvoda) – nisu dostatni za vlastiti razvoj.</w:t>
            </w:r>
          </w:p>
        </w:tc>
        <w:tc>
          <w:tcPr>
            <w:tcW w:w="139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Vrlo vjerojatno</w:t>
            </w:r>
          </w:p>
        </w:tc>
        <w:tc>
          <w:tcPr>
            <w:tcW w:w="101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8F69AB" w:rsidTr="008F69AB">
        <w:tc>
          <w:tcPr>
            <w:cnfStyle w:val="001000000000" w:firstRow="0" w:lastRow="0" w:firstColumn="1" w:lastColumn="0" w:oddVBand="0" w:evenVBand="0" w:oddHBand="0" w:evenHBand="0" w:firstRowFirstColumn="0" w:firstRowLastColumn="0" w:lastRowFirstColumn="0" w:lastRowLastColumn="0"/>
            <w:tcW w:w="561" w:type="dxa"/>
            <w:vMerge/>
          </w:tcPr>
          <w:p w:rsidR="008F69AB" w:rsidRDefault="008F69AB" w:rsidP="008F69AB">
            <w:pPr>
              <w:jc w:val="both"/>
              <w:rPr>
                <w:rFonts w:asciiTheme="minorHAnsi" w:hAnsiTheme="minorHAnsi" w:cstheme="minorHAnsi"/>
              </w:rPr>
            </w:pPr>
          </w:p>
        </w:tc>
        <w:tc>
          <w:tcPr>
            <w:tcW w:w="2836"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Odlazak ključnih zaposlenika / (de) motivacija</w:t>
            </w:r>
          </w:p>
        </w:tc>
        <w:tc>
          <w:tcPr>
            <w:tcW w:w="3828"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Postoji mogućnost odlaska ključnih zaposlenika u druge industrije ili kod konkurencije.</w:t>
            </w:r>
          </w:p>
        </w:tc>
        <w:tc>
          <w:tcPr>
            <w:tcW w:w="139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Vjerojatno</w:t>
            </w:r>
          </w:p>
        </w:tc>
        <w:tc>
          <w:tcPr>
            <w:tcW w:w="101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8F69AB" w:rsidTr="008F69AB">
        <w:tc>
          <w:tcPr>
            <w:cnfStyle w:val="001000000000" w:firstRow="0" w:lastRow="0" w:firstColumn="1" w:lastColumn="0" w:oddVBand="0" w:evenVBand="0" w:oddHBand="0" w:evenHBand="0" w:firstRowFirstColumn="0" w:firstRowLastColumn="0" w:lastRowFirstColumn="0" w:lastRowLastColumn="0"/>
            <w:tcW w:w="561" w:type="dxa"/>
            <w:vMerge/>
          </w:tcPr>
          <w:p w:rsidR="008F69AB" w:rsidRDefault="008F69AB" w:rsidP="008F69AB">
            <w:pPr>
              <w:jc w:val="both"/>
              <w:rPr>
                <w:rFonts w:asciiTheme="minorHAnsi" w:hAnsiTheme="minorHAnsi" w:cstheme="minorHAnsi"/>
              </w:rPr>
            </w:pPr>
          </w:p>
        </w:tc>
        <w:tc>
          <w:tcPr>
            <w:tcW w:w="2836"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Izostanak organizacijske prilagodbe</w:t>
            </w:r>
          </w:p>
        </w:tc>
        <w:tc>
          <w:tcPr>
            <w:tcW w:w="3828"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Navedeno primarno uključuje operativni / organizacijski model koji nije adekvatan za potrebe prilagodbe tržištu  i upravljanja proizvodima i procesima</w:t>
            </w:r>
          </w:p>
        </w:tc>
        <w:tc>
          <w:tcPr>
            <w:tcW w:w="139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Moguće</w:t>
            </w:r>
          </w:p>
        </w:tc>
        <w:tc>
          <w:tcPr>
            <w:tcW w:w="101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8F69AB" w:rsidTr="008F69AB">
        <w:tc>
          <w:tcPr>
            <w:cnfStyle w:val="001000000000" w:firstRow="0" w:lastRow="0" w:firstColumn="1" w:lastColumn="0" w:oddVBand="0" w:evenVBand="0" w:oddHBand="0" w:evenHBand="0" w:firstRowFirstColumn="0" w:firstRowLastColumn="0" w:lastRowFirstColumn="0" w:lastRowLastColumn="0"/>
            <w:tcW w:w="561" w:type="dxa"/>
            <w:vMerge w:val="restart"/>
          </w:tcPr>
          <w:p w:rsidR="008F69AB" w:rsidRDefault="008F69AB" w:rsidP="008F69AB">
            <w:pPr>
              <w:jc w:val="both"/>
              <w:rPr>
                <w:rFonts w:asciiTheme="minorHAnsi" w:hAnsiTheme="minorHAnsi" w:cstheme="minorHAnsi"/>
              </w:rPr>
            </w:pPr>
            <w:r>
              <w:rPr>
                <w:rFonts w:asciiTheme="minorHAnsi" w:hAnsiTheme="minorHAnsi" w:cstheme="minorHAnsi"/>
              </w:rPr>
              <w:t>5.</w:t>
            </w:r>
          </w:p>
        </w:tc>
        <w:tc>
          <w:tcPr>
            <w:tcW w:w="2836"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Nepovoljan razvoj makroekonomske situacije – kontinuirano smanjenje broja stanovnika Republike Hrvatske</w:t>
            </w:r>
          </w:p>
        </w:tc>
        <w:tc>
          <w:tcPr>
            <w:tcW w:w="3828"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Smanjenje broja stanovnika Hrvatske, primarno u dijelu radno sposobnog stanovništva (koji su ciljana grupa za digitalni razvoj), neizbježno će utjecati na ukupan broj igrača Hrvatske Lutrije</w:t>
            </w:r>
          </w:p>
        </w:tc>
        <w:tc>
          <w:tcPr>
            <w:tcW w:w="139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Vrlo vjerojatno</w:t>
            </w:r>
          </w:p>
        </w:tc>
        <w:tc>
          <w:tcPr>
            <w:tcW w:w="101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r w:rsidR="008F69AB" w:rsidTr="008F69AB">
        <w:tc>
          <w:tcPr>
            <w:cnfStyle w:val="001000000000" w:firstRow="0" w:lastRow="0" w:firstColumn="1" w:lastColumn="0" w:oddVBand="0" w:evenVBand="0" w:oddHBand="0" w:evenHBand="0" w:firstRowFirstColumn="0" w:firstRowLastColumn="0" w:lastRowFirstColumn="0" w:lastRowLastColumn="0"/>
            <w:tcW w:w="561" w:type="dxa"/>
            <w:vMerge/>
          </w:tcPr>
          <w:p w:rsidR="008F69AB" w:rsidRDefault="008F69AB" w:rsidP="008F69AB">
            <w:pPr>
              <w:jc w:val="both"/>
              <w:rPr>
                <w:rFonts w:asciiTheme="minorHAnsi" w:hAnsiTheme="minorHAnsi" w:cstheme="minorHAnsi"/>
              </w:rPr>
            </w:pPr>
          </w:p>
        </w:tc>
        <w:tc>
          <w:tcPr>
            <w:tcW w:w="2836" w:type="dxa"/>
          </w:tcPr>
          <w:p w:rsidR="008F69AB" w:rsidRDefault="008F69AB" w:rsidP="008F69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Nepovoljan razvoj makroekonomske situacije – pogoršanje ključnih makroekonomskih pokazatelja Republike Hrvatske</w:t>
            </w:r>
          </w:p>
        </w:tc>
        <w:tc>
          <w:tcPr>
            <w:tcW w:w="3828"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Smanjenje kupovne moći postojećih igrača, odnosno smanjenje raspoloživog dohotka (npr. zbog povećanja stope nezaposlenosti)</w:t>
            </w:r>
          </w:p>
        </w:tc>
        <w:tc>
          <w:tcPr>
            <w:tcW w:w="139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Vjerojatno</w:t>
            </w:r>
          </w:p>
        </w:tc>
        <w:tc>
          <w:tcPr>
            <w:tcW w:w="1012" w:type="dxa"/>
          </w:tcPr>
          <w:p w:rsidR="008F69AB" w:rsidRDefault="008F69AB" w:rsidP="008F69A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Značajan</w:t>
            </w:r>
          </w:p>
        </w:tc>
      </w:tr>
    </w:tbl>
    <w:p w:rsidR="008F69AB" w:rsidRDefault="008F69AB" w:rsidP="008F69AB">
      <w:pPr>
        <w:spacing w:after="0" w:line="240" w:lineRule="auto"/>
        <w:jc w:val="both"/>
        <w:rPr>
          <w:rFonts w:asciiTheme="minorHAnsi" w:hAnsiTheme="minorHAnsi" w:cstheme="minorHAnsi"/>
        </w:rPr>
      </w:pPr>
    </w:p>
    <w:p w:rsidR="006B4D69" w:rsidRDefault="006B4D69" w:rsidP="000F70FE">
      <w:pPr>
        <w:jc w:val="both"/>
        <w:rPr>
          <w:rFonts w:asciiTheme="minorHAnsi" w:hAnsiTheme="minorHAnsi"/>
        </w:rPr>
      </w:pPr>
    </w:p>
    <w:p w:rsidR="008F69AB" w:rsidRPr="00220B0F" w:rsidRDefault="008F69AB" w:rsidP="008F69AB">
      <w:pPr>
        <w:spacing w:after="0" w:line="240" w:lineRule="auto"/>
        <w:jc w:val="both"/>
        <w:rPr>
          <w:rFonts w:asciiTheme="minorHAnsi" w:hAnsiTheme="minorHAnsi" w:cstheme="minorHAnsi"/>
        </w:rPr>
      </w:pPr>
    </w:p>
    <w:p w:rsidR="008F69AB" w:rsidRPr="00174A1D" w:rsidRDefault="008F69AB" w:rsidP="00FC69DB">
      <w:pPr>
        <w:pStyle w:val="Heading1"/>
        <w:numPr>
          <w:ilvl w:val="2"/>
          <w:numId w:val="16"/>
        </w:numPr>
        <w:jc w:val="both"/>
        <w:rPr>
          <w:rFonts w:ascii="Calibri" w:hAnsi="Calibri" w:cs="Calibri"/>
          <w:sz w:val="28"/>
          <w:szCs w:val="28"/>
        </w:rPr>
      </w:pPr>
      <w:bookmarkStart w:id="22" w:name="_Toc533660868"/>
      <w:r w:rsidRPr="00174A1D">
        <w:rPr>
          <w:rFonts w:ascii="Calibri" w:hAnsi="Calibri" w:cs="Calibri"/>
          <w:sz w:val="28"/>
          <w:szCs w:val="28"/>
        </w:rPr>
        <w:t>Analiza tehnologije i tehnoloških trendova</w:t>
      </w:r>
      <w:bookmarkEnd w:id="22"/>
    </w:p>
    <w:p w:rsidR="008F69AB" w:rsidRDefault="008F69AB" w:rsidP="008F69AB">
      <w:pPr>
        <w:spacing w:after="0" w:line="240" w:lineRule="auto"/>
        <w:jc w:val="both"/>
        <w:rPr>
          <w:rFonts w:asciiTheme="minorHAnsi" w:hAnsiTheme="minorHAnsi" w:cstheme="minorHAnsi"/>
        </w:rPr>
      </w:pPr>
    </w:p>
    <w:p w:rsidR="008F69AB" w:rsidRDefault="008F69AB" w:rsidP="008F69AB">
      <w:pPr>
        <w:pStyle w:val="Default"/>
        <w:jc w:val="both"/>
        <w:rPr>
          <w:rFonts w:ascii="Calibri" w:hAnsi="Calibri" w:cs="Calibri"/>
          <w:sz w:val="22"/>
          <w:szCs w:val="22"/>
        </w:rPr>
      </w:pPr>
      <w:r>
        <w:rPr>
          <w:rFonts w:ascii="Calibri" w:hAnsi="Calibri" w:cs="Calibri"/>
          <w:sz w:val="22"/>
          <w:szCs w:val="22"/>
        </w:rPr>
        <w:t>S obzirom na napredak tehnologije te promjene navika naših igrača, a posebno u svjetlu implementacije Nove platforme za igre u okviru dugogodišnjeg ugovora koji je potpisan s partnerom I</w:t>
      </w:r>
      <w:r w:rsidR="00CD3AA4">
        <w:rPr>
          <w:rFonts w:ascii="Calibri" w:hAnsi="Calibri" w:cs="Calibri"/>
          <w:sz w:val="22"/>
          <w:szCs w:val="22"/>
        </w:rPr>
        <w:t>ntralot</w:t>
      </w:r>
      <w:r>
        <w:rPr>
          <w:rFonts w:ascii="Calibri" w:hAnsi="Calibri" w:cs="Calibri"/>
          <w:sz w:val="22"/>
          <w:szCs w:val="22"/>
        </w:rPr>
        <w:t>, očekujemo sljedeće drivere promjena:</w:t>
      </w:r>
    </w:p>
    <w:p w:rsidR="008F69AB" w:rsidRDefault="008F69AB" w:rsidP="008F69AB">
      <w:pPr>
        <w:pStyle w:val="Default"/>
        <w:numPr>
          <w:ilvl w:val="0"/>
          <w:numId w:val="11"/>
        </w:numPr>
        <w:adjustRightInd w:val="0"/>
        <w:jc w:val="both"/>
        <w:rPr>
          <w:rFonts w:ascii="Calibri" w:hAnsi="Calibri" w:cs="Calibri"/>
          <w:sz w:val="22"/>
          <w:szCs w:val="22"/>
        </w:rPr>
      </w:pPr>
      <w:r>
        <w:rPr>
          <w:rFonts w:ascii="Calibri" w:hAnsi="Calibri" w:cs="Calibri"/>
          <w:sz w:val="22"/>
          <w:szCs w:val="22"/>
        </w:rPr>
        <w:t>Zamjena postojeće analogne telefonije s IP telefonijom</w:t>
      </w:r>
    </w:p>
    <w:p w:rsidR="008F69AB" w:rsidRDefault="008F69AB" w:rsidP="008F69AB">
      <w:pPr>
        <w:pStyle w:val="Default"/>
        <w:numPr>
          <w:ilvl w:val="0"/>
          <w:numId w:val="11"/>
        </w:numPr>
        <w:adjustRightInd w:val="0"/>
        <w:jc w:val="both"/>
        <w:rPr>
          <w:rFonts w:ascii="Calibri" w:hAnsi="Calibri" w:cs="Calibri"/>
          <w:sz w:val="22"/>
          <w:szCs w:val="22"/>
        </w:rPr>
      </w:pPr>
      <w:r>
        <w:rPr>
          <w:rFonts w:ascii="Calibri" w:hAnsi="Calibri" w:cs="Calibri"/>
          <w:sz w:val="22"/>
          <w:szCs w:val="22"/>
        </w:rPr>
        <w:t>Veliki porast broja transakcija igrača koje će utjecati na sustave s kojima raspolaže Hrvatska Lutrija te sustave za pohranu podataka potrebne za podršku nesmetanom radu</w:t>
      </w:r>
    </w:p>
    <w:p w:rsidR="008F69AB" w:rsidRDefault="008F69AB" w:rsidP="008F69AB">
      <w:pPr>
        <w:pStyle w:val="Default"/>
        <w:numPr>
          <w:ilvl w:val="0"/>
          <w:numId w:val="11"/>
        </w:numPr>
        <w:adjustRightInd w:val="0"/>
        <w:jc w:val="both"/>
        <w:rPr>
          <w:rFonts w:ascii="Calibri" w:hAnsi="Calibri" w:cs="Calibri"/>
          <w:sz w:val="22"/>
          <w:szCs w:val="22"/>
        </w:rPr>
      </w:pPr>
      <w:r>
        <w:rPr>
          <w:rFonts w:ascii="Calibri" w:hAnsi="Calibri" w:cs="Calibri"/>
          <w:sz w:val="22"/>
          <w:szCs w:val="22"/>
        </w:rPr>
        <w:t>Promjena postojećih procesa iz djelokruga rada Službe informatike u skladu s promjenom procesa koje donosi implementacija nove platforme</w:t>
      </w:r>
    </w:p>
    <w:p w:rsidR="008F69AB" w:rsidRDefault="008F69AB" w:rsidP="008F69AB">
      <w:pPr>
        <w:pStyle w:val="Default"/>
        <w:numPr>
          <w:ilvl w:val="0"/>
          <w:numId w:val="11"/>
        </w:numPr>
        <w:adjustRightInd w:val="0"/>
        <w:jc w:val="both"/>
        <w:rPr>
          <w:rFonts w:ascii="Calibri" w:hAnsi="Calibri" w:cs="Calibri"/>
          <w:sz w:val="22"/>
          <w:szCs w:val="22"/>
        </w:rPr>
      </w:pPr>
      <w:r>
        <w:rPr>
          <w:rFonts w:ascii="Calibri" w:hAnsi="Calibri" w:cs="Calibri"/>
          <w:sz w:val="22"/>
          <w:szCs w:val="22"/>
        </w:rPr>
        <w:t>Nova platforma za igre treba se integrirati u postojeće okruženje Hrvatske Lutrije i iziskivat će podizanje razine informacijske sigurnosti kao i značajno povećanje potrebnih infrastrukturnih kapaciteta u smislu komunikacijske povezanosti</w:t>
      </w:r>
    </w:p>
    <w:p w:rsidR="008F69AB" w:rsidRDefault="008F69AB" w:rsidP="008F69AB">
      <w:pPr>
        <w:pStyle w:val="Default"/>
        <w:numPr>
          <w:ilvl w:val="0"/>
          <w:numId w:val="11"/>
        </w:numPr>
        <w:adjustRightInd w:val="0"/>
        <w:jc w:val="both"/>
        <w:rPr>
          <w:rFonts w:ascii="Calibri" w:hAnsi="Calibri" w:cs="Calibri"/>
          <w:sz w:val="22"/>
          <w:szCs w:val="22"/>
        </w:rPr>
      </w:pPr>
      <w:r>
        <w:rPr>
          <w:rFonts w:ascii="Calibri" w:hAnsi="Calibri" w:cs="Calibri"/>
          <w:sz w:val="22"/>
          <w:szCs w:val="22"/>
        </w:rPr>
        <w:t>Trendovi prebacivanja usluga u Cloud utjecat će na promjenu dosadašnjeg načina rada koji se temeljio na on-premise sustavima. Ovdje se očekuje značajan napor organizacije u slučaju prebacivanje postojećeg ERP-a na novo Cloud rješenje.</w:t>
      </w:r>
    </w:p>
    <w:p w:rsidR="008F69AB" w:rsidRDefault="008F69AB" w:rsidP="008F69AB">
      <w:pPr>
        <w:spacing w:after="0" w:line="240" w:lineRule="auto"/>
        <w:jc w:val="both"/>
        <w:rPr>
          <w:rFonts w:asciiTheme="minorHAnsi" w:hAnsiTheme="minorHAnsi" w:cstheme="minorHAnsi"/>
        </w:rPr>
      </w:pPr>
    </w:p>
    <w:p w:rsidR="00CD3AA4" w:rsidRDefault="00CD3AA4" w:rsidP="008F69AB">
      <w:pPr>
        <w:spacing w:after="0" w:line="240" w:lineRule="auto"/>
        <w:jc w:val="both"/>
        <w:rPr>
          <w:rFonts w:asciiTheme="minorHAnsi" w:hAnsiTheme="minorHAnsi" w:cstheme="minorHAnsi"/>
        </w:rPr>
      </w:pPr>
    </w:p>
    <w:p w:rsidR="00CD3AA4" w:rsidRDefault="00CD3AA4" w:rsidP="008F69AB">
      <w:pPr>
        <w:spacing w:after="0" w:line="240" w:lineRule="auto"/>
        <w:jc w:val="both"/>
        <w:rPr>
          <w:rFonts w:asciiTheme="minorHAnsi" w:hAnsiTheme="minorHAnsi" w:cstheme="minorHAnsi"/>
        </w:rPr>
      </w:pPr>
    </w:p>
    <w:p w:rsidR="00CD3AA4" w:rsidRDefault="00CD3AA4" w:rsidP="008F69AB">
      <w:pPr>
        <w:spacing w:after="0" w:line="240" w:lineRule="auto"/>
        <w:jc w:val="both"/>
        <w:rPr>
          <w:rFonts w:asciiTheme="minorHAnsi" w:hAnsiTheme="minorHAnsi" w:cstheme="minorHAnsi"/>
        </w:rPr>
      </w:pPr>
    </w:p>
    <w:p w:rsidR="008F69AB" w:rsidRPr="003841DD" w:rsidRDefault="008F69AB" w:rsidP="008F69AB">
      <w:pPr>
        <w:spacing w:after="0" w:line="240" w:lineRule="auto"/>
        <w:jc w:val="both"/>
        <w:rPr>
          <w:rFonts w:asciiTheme="minorHAnsi" w:hAnsiTheme="minorHAnsi" w:cstheme="minorHAnsi"/>
        </w:rPr>
      </w:pPr>
    </w:p>
    <w:p w:rsidR="008F69AB" w:rsidRPr="00174A1D" w:rsidRDefault="008F69AB" w:rsidP="00FC69DB">
      <w:pPr>
        <w:pStyle w:val="Heading1"/>
        <w:numPr>
          <w:ilvl w:val="2"/>
          <w:numId w:val="16"/>
        </w:numPr>
        <w:jc w:val="both"/>
        <w:rPr>
          <w:rFonts w:ascii="Calibri" w:hAnsi="Calibri" w:cs="Calibri"/>
          <w:sz w:val="28"/>
          <w:szCs w:val="28"/>
        </w:rPr>
      </w:pPr>
      <w:bookmarkStart w:id="23" w:name="_Toc533660869"/>
      <w:r w:rsidRPr="00174A1D">
        <w:rPr>
          <w:rFonts w:ascii="Calibri" w:hAnsi="Calibri" w:cs="Calibri"/>
          <w:sz w:val="28"/>
          <w:szCs w:val="28"/>
        </w:rPr>
        <w:t>Analiza trendova u razvoju proizvoda</w:t>
      </w:r>
      <w:bookmarkEnd w:id="23"/>
      <w:r w:rsidRPr="00174A1D">
        <w:rPr>
          <w:rFonts w:ascii="Calibri" w:hAnsi="Calibri" w:cs="Calibri"/>
          <w:sz w:val="28"/>
          <w:szCs w:val="28"/>
        </w:rPr>
        <w:t xml:space="preserve"> </w:t>
      </w:r>
    </w:p>
    <w:p w:rsidR="008F69AB" w:rsidRDefault="008F69AB" w:rsidP="008F69AB">
      <w:pPr>
        <w:spacing w:after="0" w:line="240" w:lineRule="auto"/>
        <w:jc w:val="both"/>
        <w:rPr>
          <w:rFonts w:asciiTheme="minorHAnsi" w:hAnsiTheme="minorHAnsi" w:cstheme="minorHAnsi"/>
        </w:rPr>
      </w:pPr>
    </w:p>
    <w:p w:rsidR="008F69AB" w:rsidRPr="003841DD" w:rsidRDefault="008F69AB" w:rsidP="008F69AB">
      <w:pPr>
        <w:spacing w:after="0" w:line="240" w:lineRule="auto"/>
        <w:jc w:val="both"/>
        <w:rPr>
          <w:rFonts w:asciiTheme="minorHAnsi" w:hAnsiTheme="minorHAnsi" w:cstheme="minorHAnsi"/>
        </w:rPr>
      </w:pPr>
      <w:r>
        <w:rPr>
          <w:rFonts w:asciiTheme="minorHAnsi" w:hAnsiTheme="minorHAnsi" w:cstheme="minorHAnsi"/>
        </w:rPr>
        <w:t>Razvoj igara suočen je sa sljedećim trendovima:</w:t>
      </w:r>
    </w:p>
    <w:p w:rsidR="008F69AB" w:rsidRPr="001346E2" w:rsidRDefault="008F69AB" w:rsidP="008F69AB">
      <w:pPr>
        <w:spacing w:after="0" w:line="240" w:lineRule="auto"/>
        <w:ind w:left="644"/>
        <w:jc w:val="both"/>
        <w:rPr>
          <w:rFonts w:asciiTheme="minorHAnsi" w:hAnsiTheme="minorHAnsi" w:cstheme="minorHAnsi"/>
        </w:rPr>
      </w:pPr>
    </w:p>
    <w:p w:rsidR="008F69AB" w:rsidRPr="001346E2" w:rsidRDefault="008F69AB" w:rsidP="008F69AB">
      <w:pPr>
        <w:numPr>
          <w:ilvl w:val="0"/>
          <w:numId w:val="7"/>
        </w:numPr>
        <w:spacing w:after="0" w:line="240" w:lineRule="auto"/>
        <w:jc w:val="both"/>
        <w:rPr>
          <w:rFonts w:asciiTheme="minorHAnsi" w:hAnsiTheme="minorHAnsi" w:cstheme="minorHAnsi"/>
        </w:rPr>
      </w:pPr>
      <w:r w:rsidRPr="001346E2">
        <w:rPr>
          <w:rFonts w:asciiTheme="minorHAnsi" w:hAnsiTheme="minorHAnsi" w:cstheme="minorHAnsi"/>
        </w:rPr>
        <w:lastRenderedPageBreak/>
        <w:t xml:space="preserve">Demografski trend </w:t>
      </w:r>
      <w:r w:rsidRPr="001346E2">
        <w:rPr>
          <w:rFonts w:asciiTheme="minorHAnsi" w:hAnsiTheme="minorHAnsi" w:cstheme="minorHAnsi"/>
          <w:b/>
        </w:rPr>
        <w:t>pada broja stanovnika od oko 1% na godišnjem nivou smanjuje potencijalnu</w:t>
      </w:r>
      <w:r w:rsidRPr="001346E2">
        <w:rPr>
          <w:rFonts w:asciiTheme="minorHAnsi" w:hAnsiTheme="minorHAnsi" w:cstheme="minorHAnsi"/>
        </w:rPr>
        <w:t xml:space="preserve"> bazu igrača za isti postotak te se to odražava ne sve grupe igara. Dodatno, lutrijske igre tradicionalno igraju starije osobe čiji je prirodni odljev u još većem postotku, dok mlađe osobe više igraju igre klađenja i Internet Casina. </w:t>
      </w:r>
    </w:p>
    <w:p w:rsidR="008F69AB" w:rsidRPr="001346E2" w:rsidRDefault="008F69AB" w:rsidP="008F69AB">
      <w:pPr>
        <w:numPr>
          <w:ilvl w:val="0"/>
          <w:numId w:val="7"/>
        </w:numPr>
        <w:spacing w:after="0" w:line="240" w:lineRule="auto"/>
        <w:jc w:val="both"/>
        <w:rPr>
          <w:rFonts w:asciiTheme="minorHAnsi" w:hAnsiTheme="minorHAnsi" w:cstheme="minorHAnsi"/>
          <w:b/>
        </w:rPr>
      </w:pPr>
      <w:r w:rsidRPr="001346E2">
        <w:rPr>
          <w:rFonts w:asciiTheme="minorHAnsi" w:hAnsiTheme="minorHAnsi" w:cstheme="minorHAnsi"/>
        </w:rPr>
        <w:t xml:space="preserve">Igrači sve češće igraju dinamične i brze igre sa puno učestalih izvlačenja kao što je loto klađenje, klađenje uživo ili Internet casino koje mogu igrati praktično kad požele (sve veći porast mobilnog kanala), a sve manje sporije tradicionalne igre poput izvlačenja lota koja se održavaju jednom ili dva puta tjedno – </w:t>
      </w:r>
      <w:r w:rsidRPr="001346E2">
        <w:rPr>
          <w:rFonts w:asciiTheme="minorHAnsi" w:hAnsiTheme="minorHAnsi" w:cstheme="minorHAnsi"/>
          <w:b/>
        </w:rPr>
        <w:t>evidentan je kontinuirani prelazak igrača sa sporijih lutrijskih igara na brže i učestalije igre Internet casina i klađenja uživo.</w:t>
      </w:r>
    </w:p>
    <w:p w:rsidR="008F69AB" w:rsidRPr="001346E2" w:rsidRDefault="008F69AB" w:rsidP="008F69AB">
      <w:pPr>
        <w:numPr>
          <w:ilvl w:val="0"/>
          <w:numId w:val="7"/>
        </w:numPr>
        <w:spacing w:after="0" w:line="240" w:lineRule="auto"/>
        <w:jc w:val="both"/>
        <w:rPr>
          <w:rFonts w:asciiTheme="minorHAnsi" w:hAnsiTheme="minorHAnsi" w:cstheme="minorHAnsi"/>
        </w:rPr>
      </w:pPr>
      <w:r w:rsidRPr="001346E2">
        <w:rPr>
          <w:rFonts w:asciiTheme="minorHAnsi" w:hAnsiTheme="minorHAnsi" w:cstheme="minorHAnsi"/>
        </w:rPr>
        <w:t>Igrači sve više igraju na internetu, a sve manje na zemaljskim; istovremeno raste pritisak za povećanje plaća u poslovnicama, posebno kod privatnih kladionica (iseljavanje, pad broja nezaposlenih)</w:t>
      </w:r>
    </w:p>
    <w:p w:rsidR="008F69AB" w:rsidRPr="001346E2" w:rsidRDefault="008F69AB" w:rsidP="008F69AB">
      <w:pPr>
        <w:numPr>
          <w:ilvl w:val="0"/>
          <w:numId w:val="7"/>
        </w:numPr>
        <w:spacing w:after="0" w:line="240" w:lineRule="auto"/>
        <w:jc w:val="both"/>
        <w:rPr>
          <w:rFonts w:asciiTheme="minorHAnsi" w:hAnsiTheme="minorHAnsi" w:cstheme="minorHAnsi"/>
        </w:rPr>
      </w:pPr>
      <w:r w:rsidRPr="001346E2">
        <w:rPr>
          <w:rFonts w:asciiTheme="minorHAnsi" w:hAnsiTheme="minorHAnsi" w:cstheme="minorHAnsi"/>
        </w:rPr>
        <w:t xml:space="preserve">Evidentna je </w:t>
      </w:r>
      <w:r w:rsidRPr="001346E2">
        <w:rPr>
          <w:rFonts w:asciiTheme="minorHAnsi" w:hAnsiTheme="minorHAnsi" w:cstheme="minorHAnsi"/>
          <w:b/>
        </w:rPr>
        <w:t>potreba za naprednim procesima prodaje</w:t>
      </w:r>
      <w:r w:rsidRPr="001346E2">
        <w:rPr>
          <w:rFonts w:asciiTheme="minorHAnsi" w:hAnsiTheme="minorHAnsi" w:cstheme="minorHAnsi"/>
        </w:rPr>
        <w:t xml:space="preserve"> bez kojih nije moguće privući niti zadržati igrače (neovisno o kanalu prodaje i proizvodu/igri).</w:t>
      </w:r>
    </w:p>
    <w:p w:rsidR="008F69AB" w:rsidRPr="001346E2" w:rsidRDefault="008F69AB" w:rsidP="008F69AB">
      <w:pPr>
        <w:numPr>
          <w:ilvl w:val="0"/>
          <w:numId w:val="7"/>
        </w:numPr>
        <w:spacing w:after="0" w:line="240" w:lineRule="auto"/>
        <w:jc w:val="both"/>
        <w:rPr>
          <w:rFonts w:asciiTheme="minorHAnsi" w:hAnsiTheme="minorHAnsi" w:cstheme="minorHAnsi"/>
        </w:rPr>
      </w:pPr>
      <w:r w:rsidRPr="001346E2">
        <w:rPr>
          <w:rFonts w:asciiTheme="minorHAnsi" w:hAnsiTheme="minorHAnsi" w:cstheme="minorHAnsi"/>
        </w:rPr>
        <w:t>Regulatorni čimbenici znatno utječu na promet igara, u negativnom smislu (oporezivanje, nedovoljan rad na borbi protiv ilegalnih priređivača, neregulirana tehnološka rješenja – cash out)</w:t>
      </w:r>
    </w:p>
    <w:p w:rsidR="008F69AB" w:rsidRPr="001346E2" w:rsidRDefault="008F69AB" w:rsidP="008F69AB">
      <w:pPr>
        <w:numPr>
          <w:ilvl w:val="0"/>
          <w:numId w:val="7"/>
        </w:numPr>
        <w:spacing w:after="0" w:line="240" w:lineRule="auto"/>
        <w:jc w:val="both"/>
        <w:rPr>
          <w:rFonts w:asciiTheme="minorHAnsi" w:hAnsiTheme="minorHAnsi" w:cstheme="minorHAnsi"/>
        </w:rPr>
      </w:pPr>
      <w:r w:rsidRPr="001346E2">
        <w:rPr>
          <w:rFonts w:asciiTheme="minorHAnsi" w:hAnsiTheme="minorHAnsi" w:cstheme="minorHAnsi"/>
        </w:rPr>
        <w:t>Zakon o javnoj nabavi značajan je ograničavajući faktor u borbi s konkurencijom koja nije obveznik javne nabave</w:t>
      </w:r>
    </w:p>
    <w:p w:rsidR="008F69AB" w:rsidRPr="001346E2" w:rsidRDefault="008F69AB" w:rsidP="008F69AB">
      <w:pPr>
        <w:spacing w:after="0" w:line="240" w:lineRule="auto"/>
        <w:ind w:left="644"/>
        <w:jc w:val="both"/>
        <w:rPr>
          <w:rFonts w:asciiTheme="minorHAnsi" w:hAnsiTheme="minorHAnsi" w:cstheme="minorHAnsi"/>
        </w:rPr>
      </w:pPr>
    </w:p>
    <w:p w:rsidR="008F69AB" w:rsidRPr="001346E2" w:rsidRDefault="008F69AB" w:rsidP="008F69AB">
      <w:pPr>
        <w:spacing w:after="0" w:line="240" w:lineRule="auto"/>
        <w:jc w:val="both"/>
        <w:rPr>
          <w:rFonts w:asciiTheme="minorHAnsi" w:hAnsiTheme="minorHAnsi" w:cstheme="minorHAnsi"/>
        </w:rPr>
      </w:pPr>
      <w:r w:rsidRPr="001346E2">
        <w:rPr>
          <w:rFonts w:asciiTheme="minorHAnsi" w:hAnsiTheme="minorHAnsi" w:cstheme="minorHAnsi"/>
        </w:rPr>
        <w:t>Osim toga, za pojed</w:t>
      </w:r>
      <w:r>
        <w:rPr>
          <w:rFonts w:asciiTheme="minorHAnsi" w:hAnsiTheme="minorHAnsi" w:cstheme="minorHAnsi"/>
        </w:rPr>
        <w:t>ine grupe igara evidentni su sl</w:t>
      </w:r>
      <w:r w:rsidRPr="001346E2">
        <w:rPr>
          <w:rFonts w:asciiTheme="minorHAnsi" w:hAnsiTheme="minorHAnsi" w:cstheme="minorHAnsi"/>
        </w:rPr>
        <w:t>jedeći trendovi:</w:t>
      </w:r>
    </w:p>
    <w:p w:rsidR="008F69AB" w:rsidRPr="001346E2" w:rsidRDefault="008F69AB" w:rsidP="008F69AB">
      <w:pPr>
        <w:spacing w:after="0" w:line="240" w:lineRule="auto"/>
        <w:ind w:left="644"/>
        <w:jc w:val="both"/>
        <w:rPr>
          <w:rFonts w:asciiTheme="minorHAnsi" w:hAnsiTheme="minorHAnsi" w:cstheme="minorHAnsi"/>
        </w:rPr>
      </w:pPr>
    </w:p>
    <w:p w:rsidR="008F69AB" w:rsidRPr="003841DD" w:rsidRDefault="008F69AB" w:rsidP="008F69AB">
      <w:pPr>
        <w:jc w:val="both"/>
        <w:rPr>
          <w:b/>
          <w:bCs/>
        </w:rPr>
      </w:pPr>
      <w:r w:rsidRPr="002D2F90">
        <w:rPr>
          <w:b/>
          <w:bCs/>
        </w:rPr>
        <w:t>Lutrijske igre</w:t>
      </w:r>
      <w:r w:rsidRPr="002D2F90">
        <w:t xml:space="preserve"> – evidentan je jači rast Eurojackpota i srećaka u segmentu lutrijskih igara, te pozitivni pomaci u igri Loto 6/45 uvođenjem drugog tjednog izvlačenja. Igrači pokazuju pojačan interes za brzu igru Keno-Brzih 35.</w:t>
      </w:r>
      <w:r w:rsidRPr="002D2F90">
        <w:rPr>
          <w:b/>
          <w:bCs/>
        </w:rPr>
        <w:t xml:space="preserve">  </w:t>
      </w:r>
      <w:r w:rsidRPr="002D2F90">
        <w:t>U 2019. godini očekuje se nastavak trendova rasta srećaka i brze igre, kao i rast prometa redizajnirane igre Loto 7</w:t>
      </w:r>
      <w:r w:rsidRPr="002D2F90">
        <w:rPr>
          <w:b/>
          <w:bCs/>
        </w:rPr>
        <w:t xml:space="preserve">. </w:t>
      </w:r>
      <w:r w:rsidRPr="002D2F90">
        <w:t>Kod igre Eurojackpot očekuje se stagnacija uplata ili čak blagi pad.</w:t>
      </w:r>
    </w:p>
    <w:p w:rsidR="008F69AB" w:rsidRPr="002D2F90" w:rsidRDefault="008F69AB" w:rsidP="008F69AB">
      <w:pPr>
        <w:jc w:val="both"/>
      </w:pPr>
      <w:r w:rsidRPr="002D2F90">
        <w:t>Instant i prigodne srećke su segment koji je daleko od punog potencijala. Uvođenjem Produkt menadžera za taj segment očekuje se sinergija cijelog lanca vrijednosti razvoj proizvoda, marketing, logistika i prodaja, te daljnji značajni iskorak. Kritična točka je nova nabava i moguća promjena dobavljača. Cilj je dobiti kvalitetu tiska ali i know-how, iskustva drugih tržišt</w:t>
      </w:r>
      <w:r>
        <w:t>a, poslovne analize i inovacije</w:t>
      </w:r>
    </w:p>
    <w:p w:rsidR="008F69AB" w:rsidRPr="002D2F90" w:rsidRDefault="008F69AB" w:rsidP="008F69AB">
      <w:pPr>
        <w:jc w:val="both"/>
      </w:pPr>
      <w:r w:rsidRPr="002D2F90">
        <w:t xml:space="preserve">Na osnovu ovih trendova, očekuje se blago pozitivan rast u 2019. godini i ponajviše se odnosi na redizajn igre Loto 7/39 i brze igre te instant i prigodne srećke. </w:t>
      </w:r>
    </w:p>
    <w:p w:rsidR="008F69AB" w:rsidRPr="001346E2" w:rsidRDefault="008F69AB" w:rsidP="008F69AB">
      <w:pPr>
        <w:spacing w:after="0" w:line="240" w:lineRule="auto"/>
        <w:jc w:val="both"/>
        <w:rPr>
          <w:rFonts w:asciiTheme="minorHAnsi" w:hAnsiTheme="minorHAnsi" w:cstheme="minorHAnsi"/>
        </w:rPr>
      </w:pPr>
    </w:p>
    <w:p w:rsidR="008F69AB" w:rsidRPr="001346E2" w:rsidRDefault="008F69AB" w:rsidP="008F69AB">
      <w:pPr>
        <w:spacing w:after="0" w:line="240" w:lineRule="auto"/>
        <w:jc w:val="both"/>
        <w:rPr>
          <w:rFonts w:asciiTheme="minorHAnsi" w:hAnsiTheme="minorHAnsi" w:cstheme="minorHAnsi"/>
        </w:rPr>
      </w:pPr>
      <w:r w:rsidRPr="001346E2">
        <w:rPr>
          <w:rFonts w:asciiTheme="minorHAnsi" w:hAnsiTheme="minorHAnsi" w:cstheme="minorHAnsi"/>
          <w:b/>
        </w:rPr>
        <w:t xml:space="preserve">Klađenje </w:t>
      </w:r>
      <w:r w:rsidRPr="001346E2">
        <w:rPr>
          <w:rFonts w:asciiTheme="minorHAnsi" w:hAnsiTheme="minorHAnsi" w:cstheme="minorHAnsi"/>
        </w:rPr>
        <w:t xml:space="preserve">– </w:t>
      </w:r>
      <w:r>
        <w:rPr>
          <w:rFonts w:asciiTheme="minorHAnsi" w:hAnsiTheme="minorHAnsi" w:cstheme="minorHAnsi"/>
        </w:rPr>
        <w:t>evidentno je nekoliko trendova</w:t>
      </w:r>
      <w:r w:rsidRPr="001346E2">
        <w:rPr>
          <w:rFonts w:asciiTheme="minorHAnsi" w:hAnsiTheme="minorHAnsi" w:cstheme="minorHAnsi"/>
        </w:rPr>
        <w:t>:</w:t>
      </w:r>
    </w:p>
    <w:p w:rsidR="008F69AB" w:rsidRPr="001346E2" w:rsidRDefault="008F69AB" w:rsidP="008F69AB">
      <w:pPr>
        <w:spacing w:after="0" w:line="240" w:lineRule="auto"/>
        <w:jc w:val="both"/>
        <w:rPr>
          <w:rFonts w:asciiTheme="minorHAnsi" w:hAnsiTheme="minorHAnsi" w:cstheme="minorHAnsi"/>
        </w:rPr>
      </w:pPr>
    </w:p>
    <w:p w:rsidR="008F69AB" w:rsidRPr="001346E2" w:rsidRDefault="008F69AB" w:rsidP="008F69AB">
      <w:pPr>
        <w:pStyle w:val="ListParagraph"/>
        <w:numPr>
          <w:ilvl w:val="0"/>
          <w:numId w:val="8"/>
        </w:numPr>
        <w:spacing w:after="0" w:line="360" w:lineRule="auto"/>
        <w:jc w:val="both"/>
        <w:rPr>
          <w:rFonts w:asciiTheme="minorHAnsi" w:hAnsiTheme="minorHAnsi" w:cstheme="minorHAnsi"/>
        </w:rPr>
      </w:pPr>
      <w:r w:rsidRPr="001346E2">
        <w:rPr>
          <w:rFonts w:asciiTheme="minorHAnsi" w:hAnsiTheme="minorHAnsi" w:cstheme="minorHAnsi"/>
        </w:rPr>
        <w:t xml:space="preserve">u sve se većem postotku igra klađenje uživo (Internet) u odnosu na pre-match klađenje </w:t>
      </w:r>
    </w:p>
    <w:p w:rsidR="008F69AB" w:rsidRPr="001346E2" w:rsidRDefault="008F69AB" w:rsidP="008F69AB">
      <w:pPr>
        <w:pStyle w:val="ListParagraph"/>
        <w:numPr>
          <w:ilvl w:val="0"/>
          <w:numId w:val="8"/>
        </w:numPr>
        <w:spacing w:after="0" w:line="360" w:lineRule="auto"/>
        <w:jc w:val="both"/>
        <w:rPr>
          <w:rFonts w:asciiTheme="minorHAnsi" w:hAnsiTheme="minorHAnsi" w:cstheme="minorHAnsi"/>
        </w:rPr>
      </w:pPr>
      <w:r w:rsidRPr="001346E2">
        <w:rPr>
          <w:rFonts w:asciiTheme="minorHAnsi" w:hAnsiTheme="minorHAnsi" w:cstheme="minorHAnsi"/>
        </w:rPr>
        <w:t>u sve većem postotku igrači igraju na interaktivnim kanalima</w:t>
      </w:r>
    </w:p>
    <w:p w:rsidR="008F69AB" w:rsidRPr="001346E2" w:rsidRDefault="008F69AB" w:rsidP="008F69AB">
      <w:pPr>
        <w:pStyle w:val="ListParagraph"/>
        <w:numPr>
          <w:ilvl w:val="0"/>
          <w:numId w:val="8"/>
        </w:numPr>
        <w:spacing w:after="0" w:line="360" w:lineRule="auto"/>
        <w:jc w:val="both"/>
        <w:rPr>
          <w:rFonts w:asciiTheme="minorHAnsi" w:hAnsiTheme="minorHAnsi" w:cstheme="minorHAnsi"/>
        </w:rPr>
      </w:pPr>
      <w:r w:rsidRPr="001346E2">
        <w:rPr>
          <w:rFonts w:asciiTheme="minorHAnsi" w:hAnsiTheme="minorHAnsi" w:cstheme="minorHAnsi"/>
        </w:rPr>
        <w:lastRenderedPageBreak/>
        <w:t xml:space="preserve">dio igrača koji prijeđe na interaktivne kanale počinje igrati kod nelicenciranih priređivača (npr. Bet365.com) gdje ne plaćaju naknadu za klađenje i porez na dobit </w:t>
      </w:r>
    </w:p>
    <w:p w:rsidR="008F69AB" w:rsidRPr="001346E2" w:rsidRDefault="008F69AB" w:rsidP="008F69AB">
      <w:pPr>
        <w:pStyle w:val="ListParagraph"/>
        <w:numPr>
          <w:ilvl w:val="0"/>
          <w:numId w:val="8"/>
        </w:numPr>
        <w:spacing w:after="0" w:line="360" w:lineRule="auto"/>
        <w:jc w:val="both"/>
        <w:rPr>
          <w:rFonts w:asciiTheme="minorHAnsi" w:hAnsiTheme="minorHAnsi" w:cstheme="minorHAnsi"/>
        </w:rPr>
      </w:pPr>
      <w:r w:rsidRPr="001346E2">
        <w:rPr>
          <w:rFonts w:asciiTheme="minorHAnsi" w:hAnsiTheme="minorHAnsi" w:cstheme="minorHAnsi"/>
        </w:rPr>
        <w:t>porez na sve dobitke od igara klađenja, uveden 2015.</w:t>
      </w:r>
      <w:r>
        <w:rPr>
          <w:rFonts w:asciiTheme="minorHAnsi" w:hAnsiTheme="minorHAnsi" w:cstheme="minorHAnsi"/>
        </w:rPr>
        <w:t>godine</w:t>
      </w:r>
      <w:r w:rsidRPr="001346E2">
        <w:rPr>
          <w:rFonts w:asciiTheme="minorHAnsi" w:hAnsiTheme="minorHAnsi" w:cstheme="minorHAnsi"/>
        </w:rPr>
        <w:t>,  izrazito je utjecao na promete igara klađenja na tržištu RH – prema dostupnim podacima MF (za prvih 5 mjeseci 2018.) tržište pada 7%</w:t>
      </w:r>
    </w:p>
    <w:p w:rsidR="008F69AB" w:rsidRPr="001346E2" w:rsidRDefault="008F69AB" w:rsidP="008F69AB">
      <w:pPr>
        <w:spacing w:after="0" w:line="240" w:lineRule="auto"/>
        <w:jc w:val="both"/>
        <w:rPr>
          <w:rFonts w:asciiTheme="minorHAnsi" w:hAnsiTheme="minorHAnsi" w:cstheme="minorHAnsi"/>
        </w:rPr>
      </w:pPr>
    </w:p>
    <w:p w:rsidR="008F69AB" w:rsidRPr="001346E2" w:rsidRDefault="008F69AB" w:rsidP="008F69AB">
      <w:pPr>
        <w:spacing w:after="0" w:line="240" w:lineRule="auto"/>
        <w:jc w:val="both"/>
        <w:rPr>
          <w:rFonts w:asciiTheme="minorHAnsi" w:hAnsiTheme="minorHAnsi" w:cstheme="minorHAnsi"/>
        </w:rPr>
      </w:pPr>
      <w:r>
        <w:rPr>
          <w:rFonts w:asciiTheme="minorHAnsi" w:hAnsiTheme="minorHAnsi" w:cstheme="minorHAnsi"/>
        </w:rPr>
        <w:t>Hrvatska Lutrija</w:t>
      </w:r>
      <w:r w:rsidRPr="001346E2">
        <w:rPr>
          <w:rFonts w:asciiTheme="minorHAnsi" w:hAnsiTheme="minorHAnsi" w:cstheme="minorHAnsi"/>
        </w:rPr>
        <w:t xml:space="preserve"> se pokušava prilagoditi prije svega značajnim proširenjem ponude klađenja uživo, što zajedno sa ostalim planiranim akcijama u segmentu klađenja treba rezultirati ostvarenjem pla</w:t>
      </w:r>
      <w:r>
        <w:rPr>
          <w:rFonts w:asciiTheme="minorHAnsi" w:hAnsiTheme="minorHAnsi" w:cstheme="minorHAnsi"/>
        </w:rPr>
        <w:t>niranih prometa i prihoda u 2019</w:t>
      </w:r>
      <w:r w:rsidRPr="001346E2">
        <w:rPr>
          <w:rFonts w:asciiTheme="minorHAnsi" w:hAnsiTheme="minorHAnsi" w:cstheme="minorHAnsi"/>
        </w:rPr>
        <w:t xml:space="preserve">. godini. </w:t>
      </w:r>
    </w:p>
    <w:p w:rsidR="008F69AB" w:rsidRPr="001346E2" w:rsidRDefault="008F69AB" w:rsidP="008F69AB">
      <w:pPr>
        <w:spacing w:after="0" w:line="240" w:lineRule="auto"/>
        <w:jc w:val="both"/>
        <w:rPr>
          <w:rFonts w:asciiTheme="minorHAnsi" w:hAnsiTheme="minorHAnsi" w:cstheme="minorHAnsi"/>
        </w:rPr>
      </w:pPr>
    </w:p>
    <w:p w:rsidR="008F69AB" w:rsidRDefault="008F69AB" w:rsidP="008F69AB">
      <w:pPr>
        <w:spacing w:after="0" w:line="240" w:lineRule="auto"/>
        <w:jc w:val="both"/>
        <w:rPr>
          <w:rFonts w:asciiTheme="minorHAnsi" w:hAnsiTheme="minorHAnsi" w:cstheme="minorHAnsi"/>
        </w:rPr>
      </w:pPr>
      <w:r w:rsidRPr="001346E2">
        <w:rPr>
          <w:rFonts w:asciiTheme="minorHAnsi" w:hAnsiTheme="minorHAnsi" w:cstheme="minorHAnsi"/>
          <w:b/>
        </w:rPr>
        <w:t xml:space="preserve">Internet casino </w:t>
      </w:r>
      <w:r w:rsidRPr="001346E2">
        <w:rPr>
          <w:rFonts w:asciiTheme="minorHAnsi" w:hAnsiTheme="minorHAnsi" w:cstheme="minorHAnsi"/>
        </w:rPr>
        <w:t xml:space="preserve">– najznačajnija promjena u 2019. je </w:t>
      </w:r>
      <w:r w:rsidRPr="0021529D">
        <w:rPr>
          <w:rFonts w:asciiTheme="minorHAnsi" w:hAnsiTheme="minorHAnsi" w:cstheme="minorHAnsi"/>
        </w:rPr>
        <w:t>dolazak novog konkurenata</w:t>
      </w:r>
      <w:r w:rsidRPr="001346E2">
        <w:rPr>
          <w:rFonts w:asciiTheme="minorHAnsi" w:hAnsiTheme="minorHAnsi" w:cstheme="minorHAnsi"/>
        </w:rPr>
        <w:t xml:space="preserve"> (očekuje se još jedan priređivača). Ovisno o angažmanu postojeće i nove konkurencije, tržište će rasti i dijeliti se među priređivačima. </w:t>
      </w:r>
    </w:p>
    <w:p w:rsidR="008F69AB" w:rsidRPr="001346E2" w:rsidRDefault="008F69AB" w:rsidP="008F69AB">
      <w:pPr>
        <w:spacing w:after="0" w:line="240" w:lineRule="auto"/>
        <w:jc w:val="both"/>
        <w:rPr>
          <w:rFonts w:asciiTheme="minorHAnsi" w:hAnsiTheme="minorHAnsi" w:cstheme="minorHAnsi"/>
        </w:rPr>
      </w:pPr>
      <w:r w:rsidRPr="0021529D">
        <w:rPr>
          <w:rFonts w:asciiTheme="minorHAnsi" w:hAnsiTheme="minorHAnsi" w:cstheme="minorHAnsi"/>
        </w:rPr>
        <w:t>U narednom razdoblju planirano je povećanje broja game providera što predstavlja ključni uvjet ravnopravne tržišne utakmice i trenutni standard u ovom segmentu. Uzimajući u obzir da trenutno koristimo samo jednog providera (Microgaming) za pretpostaviti je da će uvođenje novih za posljedicu generirati adekvatniji i moderniji proizvod na razini kvalitete koju nudi konkurencija.</w:t>
      </w:r>
    </w:p>
    <w:p w:rsidR="008F69AB" w:rsidRDefault="008F69AB" w:rsidP="008F69AB">
      <w:pPr>
        <w:spacing w:after="0" w:line="240" w:lineRule="auto"/>
        <w:jc w:val="both"/>
        <w:rPr>
          <w:rFonts w:asciiTheme="minorHAnsi" w:hAnsiTheme="minorHAnsi" w:cstheme="minorHAnsi"/>
        </w:rPr>
      </w:pPr>
    </w:p>
    <w:p w:rsidR="008F69AB" w:rsidRDefault="008F69AB" w:rsidP="008F69AB">
      <w:pPr>
        <w:spacing w:after="0" w:line="240" w:lineRule="auto"/>
        <w:jc w:val="both"/>
        <w:rPr>
          <w:rFonts w:asciiTheme="minorHAnsi" w:hAnsiTheme="minorHAnsi" w:cstheme="minorHAnsi"/>
        </w:rPr>
      </w:pPr>
    </w:p>
    <w:p w:rsidR="0075624F" w:rsidRDefault="0075624F" w:rsidP="000F70FE">
      <w:pPr>
        <w:jc w:val="both"/>
        <w:rPr>
          <w:rFonts w:asciiTheme="minorHAnsi" w:hAnsiTheme="minorHAnsi"/>
        </w:rPr>
      </w:pPr>
    </w:p>
    <w:p w:rsidR="00FC4C96" w:rsidRDefault="00CB05AE" w:rsidP="00E01020">
      <w:pPr>
        <w:pStyle w:val="Heading1"/>
        <w:numPr>
          <w:ilvl w:val="0"/>
          <w:numId w:val="16"/>
        </w:numPr>
        <w:jc w:val="both"/>
        <w:rPr>
          <w:rFonts w:ascii="Calibri" w:hAnsi="Calibri" w:cs="Calibri"/>
          <w:sz w:val="32"/>
          <w:szCs w:val="28"/>
        </w:rPr>
      </w:pPr>
      <w:bookmarkStart w:id="24" w:name="_Toc533660870"/>
      <w:bookmarkStart w:id="25" w:name="_Toc501009100"/>
      <w:r>
        <w:rPr>
          <w:rFonts w:ascii="Calibri" w:hAnsi="Calibri" w:cs="Calibri"/>
          <w:sz w:val="32"/>
          <w:szCs w:val="28"/>
        </w:rPr>
        <w:t>FINANCIJSKI PLAN</w:t>
      </w:r>
      <w:bookmarkEnd w:id="24"/>
      <w:r>
        <w:rPr>
          <w:rFonts w:ascii="Calibri" w:hAnsi="Calibri" w:cs="Calibri"/>
          <w:sz w:val="32"/>
          <w:szCs w:val="28"/>
        </w:rPr>
        <w:t xml:space="preserve"> </w:t>
      </w:r>
      <w:bookmarkEnd w:id="25"/>
    </w:p>
    <w:p w:rsidR="00FC4C96" w:rsidRDefault="00FC4C96" w:rsidP="00FC4C96"/>
    <w:p w:rsidR="00FC4C96" w:rsidRPr="0014729B" w:rsidRDefault="00FC4C96" w:rsidP="00FC4C96">
      <w:pPr>
        <w:tabs>
          <w:tab w:val="left" w:pos="-709"/>
          <w:tab w:val="left" w:pos="142"/>
        </w:tabs>
        <w:jc w:val="both"/>
      </w:pPr>
      <w:r>
        <w:t>Hrvatska Lutrija d.o.o.</w:t>
      </w:r>
      <w:r w:rsidRPr="0014729B">
        <w:t xml:space="preserve"> ostvaruje sredstva obavljanjem redovne djelatnosti, odnosno priređivanjem igara na sreću te kroz djelatnost prodaje robe.</w:t>
      </w:r>
      <w:r>
        <w:t xml:space="preserve"> </w:t>
      </w:r>
      <w:r w:rsidRPr="0014729B">
        <w:t xml:space="preserve">U skladu sa člankom 9. Zakona o igrama na sreću (NN br. 87/09., 35/13., 158/13., 41/14., 143/14.), koji je u primjeni od 01. siječnja 2010. godine, </w:t>
      </w:r>
      <w:r w:rsidR="00B500BA">
        <w:t>Hrvatska Lutrije</w:t>
      </w:r>
      <w:r w:rsidRPr="0014729B">
        <w:t xml:space="preserve"> ima obvezu prije isteka jednogodišnjeg razdoblja utvrditi prijedlog jednogodišnjeg</w:t>
      </w:r>
      <w:r>
        <w:t>, odnosno trogodišnjeg</w:t>
      </w:r>
      <w:r w:rsidRPr="0014729B">
        <w:t xml:space="preserve"> plana poslovanja za sljedeće razdoblje i podnijeti ga Vladi Republike Hrvatske radi prihvaćanja, uz dobivanje prethodnog mišljenja Ministarstva financija.</w:t>
      </w:r>
    </w:p>
    <w:p w:rsidR="00FC4C96" w:rsidRPr="0014729B" w:rsidRDefault="00FC4C96" w:rsidP="00FC4C96">
      <w:pPr>
        <w:tabs>
          <w:tab w:val="left" w:pos="-709"/>
          <w:tab w:val="left" w:pos="142"/>
        </w:tabs>
        <w:jc w:val="both"/>
      </w:pPr>
      <w:r w:rsidRPr="0014729B">
        <w:t>Raspodjela sredstava od igara na sreću propisana je navedenim Zakonom o igrama na sreću, kao i Pravilima lutrijskih igara na sreću.</w:t>
      </w:r>
    </w:p>
    <w:p w:rsidR="00FC4C96" w:rsidRPr="0014729B" w:rsidRDefault="00102BD5" w:rsidP="00FC4C96">
      <w:pPr>
        <w:tabs>
          <w:tab w:val="left" w:pos="-709"/>
          <w:tab w:val="left" w:pos="142"/>
        </w:tabs>
        <w:jc w:val="both"/>
      </w:pPr>
      <w:r>
        <w:t>Hrvatska lutrija d.o.o.</w:t>
      </w:r>
      <w:r w:rsidR="00FC4C96" w:rsidRPr="0014729B">
        <w:t xml:space="preserve">  ovim Planom predviđa priređivanje lutrijskih igara, igara u casinima, igara klađenja i igara na sreću na automatima (člankom 5. Zakona, igre na sreću razvrstane su u ove četiri skupine).</w:t>
      </w:r>
    </w:p>
    <w:p w:rsidR="00FC4C96" w:rsidRPr="00CE1088" w:rsidRDefault="00FC4C96" w:rsidP="00FC4C96">
      <w:pPr>
        <w:tabs>
          <w:tab w:val="left" w:pos="-709"/>
          <w:tab w:val="left" w:pos="142"/>
        </w:tabs>
        <w:jc w:val="both"/>
      </w:pPr>
      <w:r w:rsidRPr="0014729B">
        <w:t xml:space="preserve">Predviđeni razvojni programi i širenje poslovanja zahtijevaju investicijska ulaganja, a planiranim investicijama </w:t>
      </w:r>
      <w:r w:rsidR="00102BD5">
        <w:t>Hrvatska Lutrija d.o.o.</w:t>
      </w:r>
      <w:r w:rsidRPr="0014729B">
        <w:t xml:space="preserve">  ostvaruje pretpostavke koje će joj omogućiti da </w:t>
      </w:r>
      <w:r w:rsidRPr="0014729B">
        <w:lastRenderedPageBreak/>
        <w:t>ponuđenim igrama ostvari promete i prihode koji će opravdati investicije, a vlasniku omogućiti ostvarenje značajnih proračunskih prihoda.</w:t>
      </w:r>
    </w:p>
    <w:p w:rsidR="00FC4C96" w:rsidRDefault="00FC4C96" w:rsidP="00FC4C96"/>
    <w:p w:rsidR="000E0980" w:rsidRDefault="000E0980" w:rsidP="00FC4C96"/>
    <w:p w:rsidR="000E0980" w:rsidRDefault="000E0980" w:rsidP="00FC4C96"/>
    <w:p w:rsidR="00C86F7B" w:rsidRPr="00FC4C96" w:rsidRDefault="00C86F7B" w:rsidP="00FC4C96"/>
    <w:p w:rsidR="00ED231D" w:rsidRPr="00B80C78" w:rsidRDefault="007A136F" w:rsidP="002D4AE1">
      <w:pPr>
        <w:pStyle w:val="Heading1"/>
        <w:numPr>
          <w:ilvl w:val="1"/>
          <w:numId w:val="16"/>
        </w:numPr>
        <w:jc w:val="both"/>
        <w:rPr>
          <w:rFonts w:ascii="Calibri" w:hAnsi="Calibri" w:cs="Calibri"/>
          <w:sz w:val="28"/>
          <w:szCs w:val="28"/>
        </w:rPr>
      </w:pPr>
      <w:bookmarkStart w:id="26" w:name="_Toc433472802"/>
      <w:bookmarkStart w:id="27" w:name="_Toc433472877"/>
      <w:bookmarkStart w:id="28" w:name="_Toc469921246"/>
      <w:bookmarkStart w:id="29" w:name="_Toc501009101"/>
      <w:bookmarkStart w:id="30" w:name="_Toc533660871"/>
      <w:r w:rsidRPr="00B80C78">
        <w:rPr>
          <w:rFonts w:ascii="Calibri" w:hAnsi="Calibri" w:cs="Calibri"/>
          <w:sz w:val="28"/>
          <w:szCs w:val="28"/>
        </w:rPr>
        <w:t xml:space="preserve">Plan prometa i prihoda od igara na sreću za </w:t>
      </w:r>
      <w:r w:rsidR="00F46377">
        <w:rPr>
          <w:rFonts w:ascii="Calibri" w:hAnsi="Calibri" w:cs="Calibri"/>
          <w:sz w:val="28"/>
          <w:szCs w:val="28"/>
        </w:rPr>
        <w:t xml:space="preserve">razdoblje od </w:t>
      </w:r>
      <w:r w:rsidRPr="00B80C78">
        <w:rPr>
          <w:rFonts w:ascii="Calibri" w:hAnsi="Calibri" w:cs="Calibri"/>
          <w:sz w:val="28"/>
          <w:szCs w:val="28"/>
        </w:rPr>
        <w:t>201</w:t>
      </w:r>
      <w:r w:rsidR="00F46377">
        <w:rPr>
          <w:rFonts w:ascii="Calibri" w:hAnsi="Calibri" w:cs="Calibri"/>
          <w:sz w:val="28"/>
          <w:szCs w:val="28"/>
        </w:rPr>
        <w:t>8</w:t>
      </w:r>
      <w:r w:rsidRPr="00B80C78">
        <w:rPr>
          <w:rFonts w:ascii="Calibri" w:hAnsi="Calibri" w:cs="Calibri"/>
          <w:sz w:val="28"/>
          <w:szCs w:val="28"/>
        </w:rPr>
        <w:t>.</w:t>
      </w:r>
      <w:r w:rsidR="00F46377">
        <w:rPr>
          <w:rFonts w:ascii="Calibri" w:hAnsi="Calibri" w:cs="Calibri"/>
          <w:sz w:val="28"/>
          <w:szCs w:val="28"/>
        </w:rPr>
        <w:t xml:space="preserve"> do 2021.</w:t>
      </w:r>
      <w:r w:rsidRPr="00B80C78">
        <w:rPr>
          <w:rFonts w:ascii="Calibri" w:hAnsi="Calibri" w:cs="Calibri"/>
          <w:sz w:val="28"/>
          <w:szCs w:val="28"/>
        </w:rPr>
        <w:t xml:space="preserve"> </w:t>
      </w:r>
      <w:r>
        <w:rPr>
          <w:rFonts w:ascii="Calibri" w:hAnsi="Calibri" w:cs="Calibri"/>
          <w:sz w:val="28"/>
          <w:szCs w:val="28"/>
        </w:rPr>
        <w:t>g</w:t>
      </w:r>
      <w:r w:rsidRPr="00B80C78">
        <w:rPr>
          <w:rFonts w:ascii="Calibri" w:hAnsi="Calibri" w:cs="Calibri"/>
          <w:sz w:val="28"/>
          <w:szCs w:val="28"/>
        </w:rPr>
        <w:t>odinu</w:t>
      </w:r>
      <w:bookmarkEnd w:id="26"/>
      <w:bookmarkEnd w:id="27"/>
      <w:bookmarkEnd w:id="28"/>
      <w:bookmarkEnd w:id="29"/>
      <w:bookmarkEnd w:id="30"/>
    </w:p>
    <w:p w:rsidR="0075624F" w:rsidRDefault="0075624F" w:rsidP="00102BD5">
      <w:pPr>
        <w:tabs>
          <w:tab w:val="left" w:pos="-709"/>
          <w:tab w:val="left" w:pos="142"/>
        </w:tabs>
        <w:jc w:val="both"/>
      </w:pPr>
    </w:p>
    <w:p w:rsidR="007E646A" w:rsidRDefault="007E646A" w:rsidP="00102BD5">
      <w:pPr>
        <w:tabs>
          <w:tab w:val="left" w:pos="-709"/>
          <w:tab w:val="left" w:pos="142"/>
        </w:tabs>
        <w:jc w:val="both"/>
      </w:pPr>
      <w:r>
        <w:rPr>
          <w:b/>
          <w:bCs/>
          <w:color w:val="000000"/>
        </w:rPr>
        <w:t>Tablica 6: UKUPNO PLANIRANI PROMETI I PRIHODI OD IGARA NA SREĆU I PRODAJE ROBA ZA RAZDOBLJE OD 2018. DO 2021.GODINE</w:t>
      </w:r>
    </w:p>
    <w:p w:rsidR="007E646A" w:rsidRPr="00546D90" w:rsidRDefault="00546D90" w:rsidP="00F1133E">
      <w:pPr>
        <w:tabs>
          <w:tab w:val="left" w:pos="142"/>
        </w:tabs>
        <w:autoSpaceDE w:val="0"/>
        <w:autoSpaceDN w:val="0"/>
        <w:adjustRightInd w:val="0"/>
        <w:spacing w:line="240" w:lineRule="auto"/>
        <w:jc w:val="both"/>
        <w:rPr>
          <w:b/>
          <w:bCs/>
          <w:color w:val="000000"/>
        </w:rPr>
      </w:pPr>
      <w:r w:rsidRPr="00546D90">
        <w:rPr>
          <w:b/>
          <w:bCs/>
          <w:color w:val="000000"/>
        </w:rPr>
        <w:t>Planirani prometi</w:t>
      </w:r>
    </w:p>
    <w:p w:rsidR="0075624F" w:rsidRPr="00C86F7B" w:rsidRDefault="00655DB2" w:rsidP="00C86F7B">
      <w:pPr>
        <w:tabs>
          <w:tab w:val="left" w:pos="142"/>
        </w:tabs>
        <w:autoSpaceDE w:val="0"/>
        <w:autoSpaceDN w:val="0"/>
        <w:adjustRightInd w:val="0"/>
        <w:ind w:left="142"/>
        <w:jc w:val="both"/>
        <w:rPr>
          <w:bCs/>
          <w:color w:val="000000"/>
        </w:rPr>
      </w:pPr>
      <w:r w:rsidRPr="00655DB2">
        <w:rPr>
          <w:noProof/>
        </w:rPr>
        <w:drawing>
          <wp:inline distT="0" distB="0" distL="0" distR="0">
            <wp:extent cx="6120765" cy="172300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765" cy="1723001"/>
                    </a:xfrm>
                    <a:prstGeom prst="rect">
                      <a:avLst/>
                    </a:prstGeom>
                    <a:noFill/>
                    <a:ln>
                      <a:noFill/>
                    </a:ln>
                  </pic:spPr>
                </pic:pic>
              </a:graphicData>
            </a:graphic>
          </wp:inline>
        </w:drawing>
      </w:r>
    </w:p>
    <w:p w:rsidR="0075624F" w:rsidRDefault="0075624F" w:rsidP="00F1133E">
      <w:pPr>
        <w:tabs>
          <w:tab w:val="left" w:pos="142"/>
        </w:tabs>
        <w:autoSpaceDE w:val="0"/>
        <w:autoSpaceDN w:val="0"/>
        <w:adjustRightInd w:val="0"/>
        <w:jc w:val="both"/>
        <w:rPr>
          <w:b/>
          <w:bCs/>
          <w:color w:val="000000"/>
        </w:rPr>
      </w:pPr>
    </w:p>
    <w:p w:rsidR="00C86F7B" w:rsidRDefault="00C86F7B" w:rsidP="00F1133E">
      <w:pPr>
        <w:tabs>
          <w:tab w:val="left" w:pos="142"/>
        </w:tabs>
        <w:autoSpaceDE w:val="0"/>
        <w:autoSpaceDN w:val="0"/>
        <w:adjustRightInd w:val="0"/>
        <w:jc w:val="both"/>
        <w:rPr>
          <w:b/>
          <w:bCs/>
          <w:color w:val="000000"/>
        </w:rPr>
      </w:pPr>
    </w:p>
    <w:p w:rsidR="00C86F7B" w:rsidRDefault="00C86F7B" w:rsidP="00F1133E">
      <w:pPr>
        <w:tabs>
          <w:tab w:val="left" w:pos="142"/>
        </w:tabs>
        <w:autoSpaceDE w:val="0"/>
        <w:autoSpaceDN w:val="0"/>
        <w:adjustRightInd w:val="0"/>
        <w:jc w:val="both"/>
        <w:rPr>
          <w:b/>
          <w:bCs/>
          <w:color w:val="000000"/>
        </w:rPr>
      </w:pPr>
    </w:p>
    <w:p w:rsidR="000E0980" w:rsidRDefault="000E0980" w:rsidP="00F1133E">
      <w:pPr>
        <w:tabs>
          <w:tab w:val="left" w:pos="142"/>
        </w:tabs>
        <w:autoSpaceDE w:val="0"/>
        <w:autoSpaceDN w:val="0"/>
        <w:adjustRightInd w:val="0"/>
        <w:jc w:val="both"/>
        <w:rPr>
          <w:b/>
          <w:bCs/>
          <w:color w:val="000000"/>
        </w:rPr>
      </w:pPr>
    </w:p>
    <w:p w:rsidR="00C86F7B" w:rsidRDefault="00C86F7B" w:rsidP="00F1133E">
      <w:pPr>
        <w:tabs>
          <w:tab w:val="left" w:pos="142"/>
        </w:tabs>
        <w:autoSpaceDE w:val="0"/>
        <w:autoSpaceDN w:val="0"/>
        <w:adjustRightInd w:val="0"/>
        <w:jc w:val="both"/>
        <w:rPr>
          <w:b/>
          <w:bCs/>
          <w:color w:val="000000"/>
        </w:rPr>
      </w:pPr>
    </w:p>
    <w:p w:rsidR="00F1133E" w:rsidRPr="00546D90" w:rsidRDefault="00F1133E" w:rsidP="00F1133E">
      <w:pPr>
        <w:tabs>
          <w:tab w:val="left" w:pos="142"/>
        </w:tabs>
        <w:autoSpaceDE w:val="0"/>
        <w:autoSpaceDN w:val="0"/>
        <w:adjustRightInd w:val="0"/>
        <w:jc w:val="both"/>
        <w:rPr>
          <w:b/>
          <w:bCs/>
          <w:color w:val="000000"/>
        </w:rPr>
      </w:pPr>
      <w:r>
        <w:rPr>
          <w:b/>
          <w:bCs/>
          <w:color w:val="000000"/>
        </w:rPr>
        <w:t>Planirani prihodi*</w:t>
      </w:r>
    </w:p>
    <w:p w:rsidR="00F1133E" w:rsidRDefault="00CF5A78" w:rsidP="007E646A">
      <w:pPr>
        <w:tabs>
          <w:tab w:val="left" w:pos="142"/>
        </w:tabs>
        <w:autoSpaceDE w:val="0"/>
        <w:autoSpaceDN w:val="0"/>
        <w:adjustRightInd w:val="0"/>
        <w:ind w:left="142"/>
        <w:jc w:val="both"/>
        <w:rPr>
          <w:bCs/>
          <w:color w:val="000000"/>
        </w:rPr>
      </w:pPr>
      <w:r w:rsidRPr="00CF5A78">
        <w:rPr>
          <w:noProof/>
        </w:rPr>
        <w:drawing>
          <wp:inline distT="0" distB="0" distL="0" distR="0">
            <wp:extent cx="6120765" cy="1710069"/>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765" cy="1710069"/>
                    </a:xfrm>
                    <a:prstGeom prst="rect">
                      <a:avLst/>
                    </a:prstGeom>
                    <a:noFill/>
                    <a:ln>
                      <a:noFill/>
                    </a:ln>
                  </pic:spPr>
                </pic:pic>
              </a:graphicData>
            </a:graphic>
          </wp:inline>
        </w:drawing>
      </w:r>
    </w:p>
    <w:p w:rsidR="007E646A" w:rsidRDefault="007E646A" w:rsidP="007E646A">
      <w:pPr>
        <w:tabs>
          <w:tab w:val="left" w:pos="142"/>
        </w:tabs>
        <w:autoSpaceDE w:val="0"/>
        <w:autoSpaceDN w:val="0"/>
        <w:adjustRightInd w:val="0"/>
        <w:ind w:left="142"/>
        <w:jc w:val="both"/>
        <w:rPr>
          <w:bCs/>
          <w:color w:val="000000"/>
        </w:rPr>
      </w:pPr>
      <w:r w:rsidRPr="00CE1088">
        <w:rPr>
          <w:bCs/>
          <w:color w:val="000000"/>
        </w:rPr>
        <w:lastRenderedPageBreak/>
        <w:t xml:space="preserve">* prikazani su planirani prihodi koji predstavljaju priljev sredstava </w:t>
      </w:r>
      <w:r>
        <w:rPr>
          <w:bCs/>
          <w:color w:val="000000"/>
        </w:rPr>
        <w:t>Hrvatske Lutrije</w:t>
      </w:r>
      <w:r w:rsidRPr="00CE1088">
        <w:rPr>
          <w:bCs/>
          <w:color w:val="000000"/>
        </w:rPr>
        <w:t xml:space="preserve">  (ukupna uplata za igru umanjena za isplate igračima)</w:t>
      </w:r>
    </w:p>
    <w:p w:rsidR="00C50E5A" w:rsidRDefault="00C50E5A" w:rsidP="00C50E5A">
      <w:pPr>
        <w:tabs>
          <w:tab w:val="left" w:pos="-709"/>
          <w:tab w:val="left" w:pos="142"/>
        </w:tabs>
        <w:jc w:val="both"/>
      </w:pPr>
      <w:r w:rsidRPr="00CE1088">
        <w:t xml:space="preserve">Planirani promet za </w:t>
      </w:r>
      <w:r>
        <w:t xml:space="preserve">razdoblje od </w:t>
      </w:r>
      <w:r w:rsidRPr="00CE1088">
        <w:t>201</w:t>
      </w:r>
      <w:r>
        <w:t>9</w:t>
      </w:r>
      <w:r w:rsidRPr="00CE1088">
        <w:t>.</w:t>
      </w:r>
      <w:r>
        <w:t xml:space="preserve"> do 2021.</w:t>
      </w:r>
      <w:r w:rsidRPr="00CE1088">
        <w:t xml:space="preserve"> godin</w:t>
      </w:r>
      <w:r>
        <w:t>e</w:t>
      </w:r>
      <w:r w:rsidRPr="00CE1088">
        <w:t xml:space="preserve"> </w:t>
      </w:r>
      <w:r>
        <w:t>Hrvatska Lutrija</w:t>
      </w:r>
      <w:r w:rsidRPr="00CE1088">
        <w:t xml:space="preserve"> ostvarit će na vlastitim prodajnim mjestima (prodavači u radnom odnosu), na prodajnim mjestima poslovne suradnje, putem Interneta, putem kanala prodaje HL POS te putem HL BOX uređaja. </w:t>
      </w:r>
    </w:p>
    <w:p w:rsidR="00484B25" w:rsidRDefault="00484B25" w:rsidP="00102BD5">
      <w:pPr>
        <w:tabs>
          <w:tab w:val="left" w:pos="-709"/>
          <w:tab w:val="left" w:pos="142"/>
        </w:tabs>
        <w:jc w:val="both"/>
      </w:pPr>
    </w:p>
    <w:p w:rsidR="00B11336" w:rsidRPr="00B11336" w:rsidRDefault="00B11336" w:rsidP="002D4AE1">
      <w:pPr>
        <w:pStyle w:val="Heading1"/>
        <w:numPr>
          <w:ilvl w:val="1"/>
          <w:numId w:val="16"/>
        </w:numPr>
        <w:jc w:val="both"/>
        <w:rPr>
          <w:rFonts w:ascii="Calibri" w:hAnsi="Calibri" w:cs="Calibri"/>
          <w:sz w:val="28"/>
          <w:szCs w:val="28"/>
        </w:rPr>
      </w:pPr>
      <w:bookmarkStart w:id="31" w:name="_Toc533660872"/>
      <w:r w:rsidRPr="00B11336">
        <w:rPr>
          <w:rFonts w:ascii="Calibri" w:hAnsi="Calibri" w:cs="Calibri"/>
          <w:sz w:val="28"/>
          <w:szCs w:val="28"/>
        </w:rPr>
        <w:t>Financijski rezultati</w:t>
      </w:r>
      <w:bookmarkEnd w:id="31"/>
    </w:p>
    <w:p w:rsidR="007E646A" w:rsidRDefault="007E646A" w:rsidP="00102BD5">
      <w:pPr>
        <w:tabs>
          <w:tab w:val="left" w:pos="-709"/>
          <w:tab w:val="left" w:pos="142"/>
        </w:tabs>
        <w:jc w:val="both"/>
      </w:pPr>
    </w:p>
    <w:p w:rsidR="00102BD5" w:rsidRPr="00CE1088" w:rsidRDefault="00102BD5" w:rsidP="00102BD5">
      <w:pPr>
        <w:tabs>
          <w:tab w:val="left" w:pos="-709"/>
          <w:tab w:val="left" w:pos="142"/>
        </w:tabs>
        <w:jc w:val="both"/>
      </w:pPr>
      <w:r w:rsidRPr="00CE1088">
        <w:t xml:space="preserve">Prilikom planiranja prometa i prihoda od igara na sreću za </w:t>
      </w:r>
      <w:r w:rsidR="00B11336">
        <w:t>razdoblje od 2019. do 2021.godine</w:t>
      </w:r>
      <w:r w:rsidRPr="00CE1088">
        <w:t xml:space="preserve"> uzet je u obzir niz elemenata koji direktno utječu na trendove u ovoj djelatnosti.  Najznačajniji od njih su ekonomski pokazatelji,  zatim  svjetski trendovi razvoja igara, tržišna pozicija </w:t>
      </w:r>
      <w:r>
        <w:t>Hrvatske Lutrije d.o.o.</w:t>
      </w:r>
      <w:r w:rsidRPr="00CE1088">
        <w:t xml:space="preserve"> te tehničke mogućnosti i ograničenja,  dok u dijelu priređivanja igara na sreću u casinima i automat klubovima te klađenja, znatan utjecaj ima i konkurencija te zakonska regulativa.</w:t>
      </w:r>
      <w:r>
        <w:t xml:space="preserve"> </w:t>
      </w:r>
    </w:p>
    <w:p w:rsidR="00ED231D" w:rsidRDefault="00ED231D" w:rsidP="00ED231D">
      <w:pPr>
        <w:tabs>
          <w:tab w:val="left" w:pos="0"/>
          <w:tab w:val="left" w:pos="284"/>
        </w:tabs>
        <w:jc w:val="both"/>
      </w:pPr>
      <w:r w:rsidRPr="002A4BA8">
        <w:t xml:space="preserve">Ukupni prihodi </w:t>
      </w:r>
      <w:r w:rsidR="00E800DE">
        <w:t>Hrvatske Lutrije</w:t>
      </w:r>
      <w:r w:rsidRPr="002A4BA8">
        <w:t xml:space="preserve"> za </w:t>
      </w:r>
      <w:r w:rsidR="006109DB">
        <w:t xml:space="preserve">razdoblje od </w:t>
      </w:r>
      <w:r w:rsidRPr="002A4BA8">
        <w:t>201</w:t>
      </w:r>
      <w:r w:rsidR="000721BF">
        <w:t>9</w:t>
      </w:r>
      <w:r w:rsidRPr="002A4BA8">
        <w:t>.</w:t>
      </w:r>
      <w:r w:rsidR="006109DB">
        <w:t xml:space="preserve"> do 2021.</w:t>
      </w:r>
      <w:r w:rsidRPr="002A4BA8">
        <w:t xml:space="preserve"> godin</w:t>
      </w:r>
      <w:r w:rsidR="006109DB">
        <w:t>e</w:t>
      </w:r>
      <w:r w:rsidRPr="002A4BA8">
        <w:t xml:space="preserve"> planirani su </w:t>
      </w:r>
      <w:r w:rsidR="006109DB">
        <w:t xml:space="preserve">s prosječnom godišnjom stopom </w:t>
      </w:r>
      <w:r w:rsidR="006109DB" w:rsidRPr="00152F2D">
        <w:t>rasta od</w:t>
      </w:r>
      <w:r w:rsidRPr="00152F2D">
        <w:t xml:space="preserve"> </w:t>
      </w:r>
      <w:r w:rsidR="00152F2D" w:rsidRPr="00152F2D">
        <w:t>6</w:t>
      </w:r>
      <w:r w:rsidRPr="00152F2D">
        <w:t>,</w:t>
      </w:r>
      <w:r w:rsidR="00152F2D" w:rsidRPr="00152F2D">
        <w:t>2</w:t>
      </w:r>
      <w:r w:rsidR="00152F2D">
        <w:t>0</w:t>
      </w:r>
      <w:r w:rsidRPr="00152F2D">
        <w:t>%</w:t>
      </w:r>
      <w:r w:rsidR="006109DB" w:rsidRPr="00152F2D">
        <w:t>.</w:t>
      </w:r>
      <w:r w:rsidR="006109DB">
        <w:t xml:space="preserve"> Kod izračuna prosječne godišnje stope rasta kao bazna godina uzeta je 2018.godina.</w:t>
      </w:r>
      <w:r w:rsidRPr="002A4BA8">
        <w:t xml:space="preserve"> Ukupni prihodi sastoje se od prihoda od igara na sreću, prihoda od prodaje robe, prihoda od zakupnina, ostalih prihoda iz redovitog poslovanja i financijskih prihoda.</w:t>
      </w:r>
    </w:p>
    <w:p w:rsidR="006109DB" w:rsidRDefault="006109DB" w:rsidP="00ED231D">
      <w:pPr>
        <w:tabs>
          <w:tab w:val="left" w:pos="0"/>
          <w:tab w:val="left" w:pos="284"/>
        </w:tabs>
        <w:jc w:val="both"/>
      </w:pPr>
      <w:r>
        <w:t xml:space="preserve">U strukturi ukupnog prihoda u cijelom trogodišnjem razdoblju najveći udjel imaju prihodi od igara (prosječno </w:t>
      </w:r>
      <w:r w:rsidRPr="00152F2D">
        <w:t>98,</w:t>
      </w:r>
      <w:r w:rsidR="00152F2D" w:rsidRPr="00152F2D">
        <w:t>93</w:t>
      </w:r>
      <w:r w:rsidRPr="00152F2D">
        <w:t>%).</w:t>
      </w:r>
      <w:r>
        <w:t xml:space="preserve"> Ovi prihodi rastu po planiranoj godišnjoj stopi rasta </w:t>
      </w:r>
      <w:r w:rsidRPr="00152F2D">
        <w:t xml:space="preserve">od </w:t>
      </w:r>
      <w:r w:rsidR="00152F2D" w:rsidRPr="00152F2D">
        <w:t>6,42</w:t>
      </w:r>
      <w:r w:rsidRPr="00152F2D">
        <w:t>%</w:t>
      </w:r>
      <w:r w:rsidR="00152F2D">
        <w:t>.</w:t>
      </w:r>
    </w:p>
    <w:p w:rsidR="00152F2D" w:rsidRDefault="00152F2D" w:rsidP="00ED231D">
      <w:pPr>
        <w:tabs>
          <w:tab w:val="left" w:pos="0"/>
          <w:tab w:val="left" w:pos="284"/>
        </w:tabs>
        <w:jc w:val="both"/>
      </w:pPr>
      <w:r>
        <w:t>Prihodi od lutrijskih igara na sreću planirani su s prosječnom godišnjom stopom rasta od 5,38%</w:t>
      </w:r>
      <w:r w:rsidR="00C8130A">
        <w:t xml:space="preserve"> (promet lutrijskih igara na sreću umanjen je za fond dobitaka igračima).</w:t>
      </w:r>
    </w:p>
    <w:p w:rsidR="00C8130A" w:rsidRDefault="00C8130A" w:rsidP="00ED231D">
      <w:pPr>
        <w:tabs>
          <w:tab w:val="left" w:pos="0"/>
          <w:tab w:val="left" w:pos="284"/>
        </w:tabs>
        <w:jc w:val="both"/>
      </w:pPr>
      <w:r>
        <w:t>Kretanje prihoda od klađenja u trogodišnjem razdoblju planira se s prosječnom godišnjom stopom rasta od 4,25%.</w:t>
      </w:r>
    </w:p>
    <w:p w:rsidR="00C8130A" w:rsidRDefault="00C8130A" w:rsidP="00ED231D">
      <w:pPr>
        <w:tabs>
          <w:tab w:val="left" w:pos="0"/>
          <w:tab w:val="left" w:pos="284"/>
        </w:tabs>
        <w:jc w:val="both"/>
      </w:pPr>
      <w:r>
        <w:t>Prihodi od igre na automa</w:t>
      </w:r>
      <w:r w:rsidR="005A31CE">
        <w:t>tima planirani su s rastom od 25%</w:t>
      </w:r>
      <w:r>
        <w:t>, dok se prihodi u ca</w:t>
      </w:r>
      <w:r w:rsidR="005A31CE">
        <w:t xml:space="preserve">sinima planiraju s rastom od 5,17% </w:t>
      </w:r>
      <w:r>
        <w:t>godišnje.</w:t>
      </w:r>
    </w:p>
    <w:p w:rsidR="00C8130A" w:rsidRDefault="00C8130A" w:rsidP="00ED231D">
      <w:pPr>
        <w:tabs>
          <w:tab w:val="left" w:pos="0"/>
          <w:tab w:val="left" w:pos="284"/>
        </w:tabs>
        <w:jc w:val="both"/>
      </w:pPr>
      <w:r>
        <w:t>Rast prihoda od prodaje roba planiran je po</w:t>
      </w:r>
      <w:r w:rsidR="005A31CE">
        <w:t xml:space="preserve"> prosječnoj godišnjoj stopi od 0,51%</w:t>
      </w:r>
      <w:r>
        <w:t>, dok je kod prihoda od zakupnina planirana padajuća stop</w:t>
      </w:r>
      <w:r w:rsidR="005A31CE">
        <w:t>a od prosječno 1,45%</w:t>
      </w:r>
      <w:r>
        <w:t xml:space="preserve"> godišnje.</w:t>
      </w:r>
    </w:p>
    <w:p w:rsidR="00C8130A" w:rsidRDefault="00C8130A" w:rsidP="00ED231D">
      <w:pPr>
        <w:tabs>
          <w:tab w:val="left" w:pos="0"/>
          <w:tab w:val="left" w:pos="284"/>
        </w:tabs>
        <w:jc w:val="both"/>
      </w:pPr>
      <w:r>
        <w:t>Ostali poslovni prihodi plani</w:t>
      </w:r>
      <w:r w:rsidR="00BE6881">
        <w:t>rani su s padom od prosječno 10,04%, a financijski prihodi s padom od prosječno 13,20%.</w:t>
      </w:r>
    </w:p>
    <w:p w:rsidR="00C8130A" w:rsidRDefault="00C8130A" w:rsidP="00ED231D">
      <w:pPr>
        <w:tabs>
          <w:tab w:val="left" w:pos="0"/>
          <w:tab w:val="left" w:pos="284"/>
        </w:tabs>
        <w:jc w:val="both"/>
      </w:pPr>
      <w:r>
        <w:t xml:space="preserve">Kretanje ukupnih rashoda Hrvatske Lutrije d.o.o. za razdoblje od 2018. do 2021.godine planirano je s prosječnom godišnjom stopom rasta od </w:t>
      </w:r>
      <w:r w:rsidR="005A31CE">
        <w:t>6,03%.</w:t>
      </w:r>
    </w:p>
    <w:p w:rsidR="00ED231D" w:rsidRDefault="00ED231D" w:rsidP="00ED231D">
      <w:pPr>
        <w:tabs>
          <w:tab w:val="left" w:pos="0"/>
          <w:tab w:val="left" w:pos="284"/>
        </w:tabs>
        <w:jc w:val="both"/>
      </w:pPr>
      <w:r w:rsidRPr="00C8130A">
        <w:t xml:space="preserve">Dobit Hrvatske Lutrije d.o.o. </w:t>
      </w:r>
      <w:r w:rsidR="00C8130A" w:rsidRPr="00C8130A">
        <w:t>prije</w:t>
      </w:r>
      <w:r w:rsidR="00C8130A">
        <w:t xml:space="preserve"> oporezivanja za trogodišnje razdoblje planirana je s prosječnom godišnjom stopom rasta od 7,58%</w:t>
      </w:r>
      <w:r w:rsidR="00AD32CC">
        <w:t>.</w:t>
      </w:r>
    </w:p>
    <w:p w:rsidR="006109DB" w:rsidRPr="00CE1088" w:rsidRDefault="006109DB" w:rsidP="006109DB">
      <w:pPr>
        <w:tabs>
          <w:tab w:val="left" w:pos="0"/>
          <w:tab w:val="left" w:pos="284"/>
        </w:tabs>
        <w:jc w:val="both"/>
      </w:pPr>
      <w:r>
        <w:lastRenderedPageBreak/>
        <w:t>U Tablici 7</w:t>
      </w:r>
      <w:r w:rsidRPr="00CE1088">
        <w:t>. prikazan je pregled ukupnih prihoda, rashoda i dobiti.</w:t>
      </w:r>
    </w:p>
    <w:p w:rsidR="006B4D69" w:rsidRDefault="006B4D69" w:rsidP="00E600B1">
      <w:pPr>
        <w:jc w:val="both"/>
      </w:pPr>
    </w:p>
    <w:p w:rsidR="000E0980" w:rsidRDefault="000E0980" w:rsidP="00E600B1">
      <w:pPr>
        <w:jc w:val="both"/>
      </w:pPr>
    </w:p>
    <w:p w:rsidR="000E0980" w:rsidRDefault="000E0980" w:rsidP="00E600B1">
      <w:pPr>
        <w:jc w:val="both"/>
      </w:pPr>
    </w:p>
    <w:p w:rsidR="000E0980" w:rsidRDefault="000E0980" w:rsidP="00E600B1">
      <w:pPr>
        <w:jc w:val="both"/>
      </w:pPr>
    </w:p>
    <w:p w:rsidR="000E0980" w:rsidRDefault="000E0980" w:rsidP="00E600B1">
      <w:pPr>
        <w:jc w:val="both"/>
      </w:pPr>
    </w:p>
    <w:p w:rsidR="000E0980" w:rsidRDefault="000E0980" w:rsidP="00E600B1">
      <w:pPr>
        <w:jc w:val="both"/>
      </w:pPr>
    </w:p>
    <w:p w:rsidR="000E0980" w:rsidRDefault="000E0980" w:rsidP="00E600B1">
      <w:pPr>
        <w:jc w:val="both"/>
      </w:pPr>
    </w:p>
    <w:p w:rsidR="000E0980" w:rsidRDefault="000E0980" w:rsidP="00E600B1">
      <w:pPr>
        <w:jc w:val="both"/>
      </w:pPr>
    </w:p>
    <w:p w:rsidR="0025454E" w:rsidRDefault="0025454E" w:rsidP="0025454E">
      <w:pPr>
        <w:rPr>
          <w:b/>
        </w:rPr>
      </w:pPr>
      <w:r w:rsidRPr="00165579">
        <w:rPr>
          <w:b/>
        </w:rPr>
        <w:t xml:space="preserve">Tablica </w:t>
      </w:r>
      <w:r w:rsidR="006109DB">
        <w:rPr>
          <w:b/>
        </w:rPr>
        <w:t>7</w:t>
      </w:r>
      <w:r w:rsidRPr="00165579">
        <w:rPr>
          <w:b/>
        </w:rPr>
        <w:t xml:space="preserve">: PLAN UKUPNIH PRIHODA, RASHODA I DOBITI ZA </w:t>
      </w:r>
      <w:r w:rsidR="006109DB">
        <w:rPr>
          <w:b/>
        </w:rPr>
        <w:t xml:space="preserve">RAZDOBLJE OD </w:t>
      </w:r>
      <w:r w:rsidRPr="00165579">
        <w:rPr>
          <w:b/>
        </w:rPr>
        <w:t>201</w:t>
      </w:r>
      <w:r>
        <w:rPr>
          <w:b/>
        </w:rPr>
        <w:t>9</w:t>
      </w:r>
      <w:r w:rsidRPr="00165579">
        <w:rPr>
          <w:b/>
        </w:rPr>
        <w:t>.</w:t>
      </w:r>
      <w:r w:rsidR="006109DB">
        <w:rPr>
          <w:b/>
        </w:rPr>
        <w:t xml:space="preserve"> DO 2021. GODINE</w:t>
      </w:r>
    </w:p>
    <w:p w:rsidR="00634CDD" w:rsidRDefault="00634CDD" w:rsidP="009A368B">
      <w:pPr>
        <w:tabs>
          <w:tab w:val="left" w:pos="142"/>
        </w:tabs>
        <w:ind w:left="142"/>
        <w:jc w:val="both"/>
      </w:pPr>
    </w:p>
    <w:p w:rsidR="006C0599" w:rsidRDefault="00BA3E3A" w:rsidP="006C0599">
      <w:pPr>
        <w:rPr>
          <w:b/>
        </w:rPr>
      </w:pPr>
      <w:r w:rsidRPr="00BA3E3A">
        <w:rPr>
          <w:noProof/>
        </w:rPr>
        <w:drawing>
          <wp:inline distT="0" distB="0" distL="0" distR="0">
            <wp:extent cx="6120765" cy="45774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765" cy="4577451"/>
                    </a:xfrm>
                    <a:prstGeom prst="rect">
                      <a:avLst/>
                    </a:prstGeom>
                    <a:noFill/>
                    <a:ln>
                      <a:noFill/>
                    </a:ln>
                  </pic:spPr>
                </pic:pic>
              </a:graphicData>
            </a:graphic>
          </wp:inline>
        </w:drawing>
      </w:r>
    </w:p>
    <w:p w:rsidR="006B4D69" w:rsidRDefault="006B4D69" w:rsidP="006C0599">
      <w:pPr>
        <w:rPr>
          <w:b/>
        </w:rPr>
      </w:pPr>
    </w:p>
    <w:p w:rsidR="000E0980" w:rsidRDefault="000E0980" w:rsidP="006C0599"/>
    <w:p w:rsidR="00AD32CC" w:rsidRPr="00E9463D" w:rsidRDefault="00AD32CC" w:rsidP="006C0599">
      <w:r w:rsidRPr="00E9463D">
        <w:lastRenderedPageBreak/>
        <w:t>U okviru ukupnih rashoda planiraju se naknade za priređivanje igara na sreću koje se temeljem Zakona o igrama na sreću obračunavaju i uplaćuju u Državni proračun. Ukupne naknade planirane su s prosječnom godišnjom stop</w:t>
      </w:r>
      <w:r w:rsidR="00BA3E3A">
        <w:t>om rasta od 9</w:t>
      </w:r>
      <w:r w:rsidRPr="00E9463D">
        <w:t>,</w:t>
      </w:r>
      <w:r w:rsidR="00BA3E3A">
        <w:t>24</w:t>
      </w:r>
      <w:r w:rsidRPr="00E9463D">
        <w:t xml:space="preserve">%. </w:t>
      </w:r>
    </w:p>
    <w:p w:rsidR="00E9463D" w:rsidRDefault="00E9463D" w:rsidP="00D05438">
      <w:r w:rsidRPr="00E9463D">
        <w:t>Trogodišnjim planom za razdoblje od 2019. do 2021.godine planirane su sljedeće naknade:</w:t>
      </w:r>
    </w:p>
    <w:p w:rsidR="00E9463D" w:rsidRDefault="00E9463D" w:rsidP="009C7C8C">
      <w:pPr>
        <w:pStyle w:val="ListParagraph"/>
        <w:numPr>
          <w:ilvl w:val="0"/>
          <w:numId w:val="22"/>
        </w:numPr>
      </w:pPr>
      <w:r w:rsidRPr="00E9463D">
        <w:t>naknada za priređivanje lutrijskih igara na</w:t>
      </w:r>
      <w:r>
        <w:t xml:space="preserve"> sreću, koja se plaća </w:t>
      </w:r>
      <w:r w:rsidRPr="00E9463D">
        <w:t>mjesečno u iznosu 10% od osnovice koju čini ukupna vrijednost primljenih uplata za pojedinu igru</w:t>
      </w:r>
    </w:p>
    <w:p w:rsidR="00E9463D" w:rsidRPr="00E9463D" w:rsidRDefault="00E9463D" w:rsidP="009C7C8C">
      <w:pPr>
        <w:pStyle w:val="ListParagraph"/>
        <w:numPr>
          <w:ilvl w:val="0"/>
          <w:numId w:val="22"/>
        </w:numPr>
      </w:pPr>
      <w:r>
        <w:t>Mjesečna naknada za klađenje, koja se plaća u iznosu 5% od osnovice koju čini ukupni iznos uplate (uključujući naplaćeni manipulativni trošak)</w:t>
      </w:r>
    </w:p>
    <w:p w:rsidR="00E9463D" w:rsidRDefault="00E9463D" w:rsidP="009C7C8C">
      <w:pPr>
        <w:pStyle w:val="ListParagraph"/>
        <w:numPr>
          <w:ilvl w:val="0"/>
          <w:numId w:val="22"/>
        </w:numPr>
      </w:pPr>
      <w:r>
        <w:t>G</w:t>
      </w:r>
      <w:r w:rsidRPr="00E9463D">
        <w:t>odišnja naknada za igre klađenja</w:t>
      </w:r>
      <w:r>
        <w:t>, putem uplatnih mjesta, putem Interneta te putem samoposlužnih terminala, koja se plaća u iznosu od 3.000.000 kn</w:t>
      </w:r>
    </w:p>
    <w:p w:rsidR="00E9463D" w:rsidRDefault="00E9463D" w:rsidP="009C7C8C">
      <w:pPr>
        <w:pStyle w:val="ListParagraph"/>
        <w:numPr>
          <w:ilvl w:val="0"/>
          <w:numId w:val="22"/>
        </w:numPr>
      </w:pPr>
      <w:r>
        <w:t>N</w:t>
      </w:r>
      <w:r w:rsidRPr="00E9463D">
        <w:t xml:space="preserve">aknada za priređivanje igara </w:t>
      </w:r>
      <w:r>
        <w:t>na sreću u casinima, koja se uplaćuje</w:t>
      </w:r>
      <w:r w:rsidRPr="00E9463D">
        <w:t xml:space="preserve"> mjesečno od prihoda igara</w:t>
      </w:r>
      <w:r>
        <w:t xml:space="preserve"> na sreću u casinima za svaku igru posebno i iznosi 15% na osnovicu koja predstavlja zbroj dnevnih obračuna svih stolova i svih automata, a u planirani iznos uključena je i naknada za priređivanje turnira</w:t>
      </w:r>
    </w:p>
    <w:p w:rsidR="00E9463D" w:rsidRDefault="00E9463D" w:rsidP="009C7C8C">
      <w:pPr>
        <w:pStyle w:val="ListParagraph"/>
        <w:numPr>
          <w:ilvl w:val="0"/>
          <w:numId w:val="22"/>
        </w:numPr>
      </w:pPr>
      <w:r>
        <w:t>Godišnja naknada za priređivanje igara u casinima, koja se plaća u iznosu od 500.000 kn za svaki casino</w:t>
      </w:r>
    </w:p>
    <w:p w:rsidR="00E9463D" w:rsidRDefault="00E9463D" w:rsidP="009C7C8C">
      <w:pPr>
        <w:pStyle w:val="ListParagraph"/>
        <w:numPr>
          <w:ilvl w:val="0"/>
          <w:numId w:val="22"/>
        </w:numPr>
      </w:pPr>
      <w:r>
        <w:t>Godišnja naknada za priređivanje casino igara putem interaktivnih kanala, koja je propisana u iznosu od 3.000.000 kn</w:t>
      </w:r>
    </w:p>
    <w:p w:rsidR="00E9463D" w:rsidRDefault="00E9463D" w:rsidP="009C7C8C">
      <w:pPr>
        <w:pStyle w:val="ListParagraph"/>
        <w:numPr>
          <w:ilvl w:val="0"/>
          <w:numId w:val="22"/>
        </w:numPr>
      </w:pPr>
      <w:r>
        <w:t xml:space="preserve">Naknada za priređivanje igara na sreću </w:t>
      </w:r>
      <w:r w:rsidR="00DE4704">
        <w:t>u automat klubovima, koja se plaća mjesečno u iznosu od 25%, a osnovicu za obračun predstavlja zbroj dnevnih obračuna svih istovrsnih automata za igre na sreću</w:t>
      </w:r>
    </w:p>
    <w:p w:rsidR="00DE4704" w:rsidRDefault="00DE4704" w:rsidP="009C7C8C">
      <w:pPr>
        <w:pStyle w:val="ListParagraph"/>
        <w:numPr>
          <w:ilvl w:val="0"/>
          <w:numId w:val="22"/>
        </w:numPr>
      </w:pPr>
      <w:r>
        <w:t>Godišnja naknada koja se plaća 10.000 kn po automatu</w:t>
      </w:r>
    </w:p>
    <w:p w:rsidR="00DE4704" w:rsidRDefault="00DE4704" w:rsidP="009C7C8C">
      <w:pPr>
        <w:pStyle w:val="ListParagraph"/>
        <w:numPr>
          <w:ilvl w:val="0"/>
          <w:numId w:val="22"/>
        </w:numPr>
      </w:pPr>
      <w:r>
        <w:t>Godišnja naknada koja se plaća po elektronskom roulettu (do šest igraćih mjesta – 40.000 kn, iznad šest igraćih mjesta – po 50.000 kn)</w:t>
      </w:r>
    </w:p>
    <w:p w:rsidR="00DE4704" w:rsidRPr="00E9463D" w:rsidRDefault="00DE4704" w:rsidP="009C7C8C">
      <w:pPr>
        <w:pStyle w:val="ListParagraph"/>
        <w:numPr>
          <w:ilvl w:val="0"/>
          <w:numId w:val="22"/>
        </w:numPr>
      </w:pPr>
      <w:r>
        <w:t>N</w:t>
      </w:r>
      <w:r w:rsidRPr="00DE4704">
        <w:t>aknade za plombiranje</w:t>
      </w:r>
      <w:r>
        <w:t>, koje su propisane u iznosu od 300 kn po svakom plombiranju programske ploče automata</w:t>
      </w:r>
    </w:p>
    <w:p w:rsidR="00711AE4" w:rsidRDefault="00711AE4" w:rsidP="00CB33B2">
      <w:pPr>
        <w:tabs>
          <w:tab w:val="left" w:pos="142"/>
        </w:tabs>
        <w:jc w:val="both"/>
      </w:pPr>
    </w:p>
    <w:p w:rsidR="00CA1CF3" w:rsidRDefault="00CA1CF3" w:rsidP="00CB33B2">
      <w:pPr>
        <w:tabs>
          <w:tab w:val="left" w:pos="142"/>
        </w:tabs>
        <w:jc w:val="both"/>
      </w:pPr>
    </w:p>
    <w:p w:rsidR="00711AE4" w:rsidRDefault="00711AE4" w:rsidP="002D4AE1">
      <w:pPr>
        <w:pStyle w:val="Heading1"/>
        <w:numPr>
          <w:ilvl w:val="1"/>
          <w:numId w:val="16"/>
        </w:numPr>
        <w:jc w:val="both"/>
        <w:rPr>
          <w:rFonts w:ascii="Calibri" w:hAnsi="Calibri" w:cs="Calibri"/>
          <w:sz w:val="28"/>
          <w:szCs w:val="28"/>
        </w:rPr>
      </w:pPr>
      <w:bookmarkStart w:id="32" w:name="_Toc501009106"/>
      <w:bookmarkStart w:id="33" w:name="_Toc533660873"/>
      <w:r w:rsidRPr="000C281D">
        <w:rPr>
          <w:rFonts w:ascii="Calibri" w:hAnsi="Calibri" w:cs="Calibri"/>
          <w:sz w:val="28"/>
          <w:szCs w:val="28"/>
        </w:rPr>
        <w:t>Plan</w:t>
      </w:r>
      <w:r w:rsidR="007E646A">
        <w:rPr>
          <w:rFonts w:ascii="Calibri" w:hAnsi="Calibri" w:cs="Calibri"/>
          <w:sz w:val="28"/>
          <w:szCs w:val="28"/>
        </w:rPr>
        <w:t>irane</w:t>
      </w:r>
      <w:r w:rsidRPr="000C281D">
        <w:rPr>
          <w:rFonts w:ascii="Calibri" w:hAnsi="Calibri" w:cs="Calibri"/>
          <w:sz w:val="28"/>
          <w:szCs w:val="28"/>
        </w:rPr>
        <w:t xml:space="preserve"> investicij</w:t>
      </w:r>
      <w:bookmarkEnd w:id="32"/>
      <w:r w:rsidR="007E646A">
        <w:rPr>
          <w:rFonts w:ascii="Calibri" w:hAnsi="Calibri" w:cs="Calibri"/>
          <w:sz w:val="28"/>
          <w:szCs w:val="28"/>
        </w:rPr>
        <w:t>e</w:t>
      </w:r>
      <w:bookmarkEnd w:id="33"/>
    </w:p>
    <w:p w:rsidR="006109DB" w:rsidRDefault="006109DB" w:rsidP="006109DB">
      <w:pPr>
        <w:rPr>
          <w:b/>
        </w:rPr>
      </w:pPr>
      <w:r>
        <w:rPr>
          <w:b/>
        </w:rPr>
        <w:t xml:space="preserve"> </w:t>
      </w:r>
    </w:p>
    <w:p w:rsidR="006109DB" w:rsidRPr="006109DB" w:rsidRDefault="006109DB" w:rsidP="006109DB">
      <w:pPr>
        <w:rPr>
          <w:b/>
        </w:rPr>
      </w:pPr>
      <w:r w:rsidRPr="006109DB">
        <w:rPr>
          <w:b/>
        </w:rPr>
        <w:t xml:space="preserve">Tablica </w:t>
      </w:r>
      <w:r>
        <w:rPr>
          <w:b/>
        </w:rPr>
        <w:t>8</w:t>
      </w:r>
      <w:r w:rsidRPr="006109DB">
        <w:rPr>
          <w:b/>
        </w:rPr>
        <w:t xml:space="preserve">: PLAN </w:t>
      </w:r>
      <w:r>
        <w:rPr>
          <w:b/>
        </w:rPr>
        <w:t>INVESTICIJA U DUGOTRAJNU IMOVINU</w:t>
      </w:r>
    </w:p>
    <w:tbl>
      <w:tblPr>
        <w:tblW w:w="8960" w:type="dxa"/>
        <w:tblLook w:val="04A0" w:firstRow="1" w:lastRow="0" w:firstColumn="1" w:lastColumn="0" w:noHBand="0" w:noVBand="1"/>
      </w:tblPr>
      <w:tblGrid>
        <w:gridCol w:w="495"/>
        <w:gridCol w:w="4400"/>
        <w:gridCol w:w="1181"/>
        <w:gridCol w:w="1020"/>
        <w:gridCol w:w="1020"/>
        <w:gridCol w:w="1020"/>
      </w:tblGrid>
      <w:tr w:rsidR="005F1549" w:rsidRPr="005F1549" w:rsidTr="005F1549">
        <w:trPr>
          <w:trHeight w:val="315"/>
        </w:trPr>
        <w:tc>
          <w:tcPr>
            <w:tcW w:w="38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ascii="Times New Roman" w:hAnsi="Times New Roman"/>
                <w:sz w:val="24"/>
                <w:szCs w:val="24"/>
              </w:rPr>
            </w:pPr>
          </w:p>
        </w:tc>
        <w:tc>
          <w:tcPr>
            <w:tcW w:w="440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ascii="Times New Roman" w:hAnsi="Times New Roman"/>
                <w:sz w:val="20"/>
                <w:szCs w:val="20"/>
              </w:rPr>
            </w:pP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ascii="Times New Roman" w:hAnsi="Times New Roman"/>
                <w:sz w:val="20"/>
                <w:szCs w:val="20"/>
              </w:rPr>
            </w:pP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ascii="Times New Roman" w:hAnsi="Times New Roman"/>
                <w:sz w:val="20"/>
                <w:szCs w:val="20"/>
              </w:rPr>
            </w:pP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u 000 kn</w:t>
            </w:r>
          </w:p>
        </w:tc>
      </w:tr>
      <w:tr w:rsidR="005F1549" w:rsidRPr="005F1549" w:rsidTr="005F1549">
        <w:trPr>
          <w:trHeight w:val="315"/>
        </w:trPr>
        <w:tc>
          <w:tcPr>
            <w:tcW w:w="380" w:type="dxa"/>
            <w:vMerge w:val="restart"/>
            <w:tcBorders>
              <w:top w:val="single" w:sz="8" w:space="0" w:color="92D050"/>
              <w:left w:val="nil"/>
              <w:bottom w:val="single" w:sz="8" w:space="0" w:color="92D050"/>
              <w:right w:val="nil"/>
            </w:tcBorders>
            <w:shd w:val="clear" w:color="auto" w:fill="auto"/>
            <w:vAlign w:val="center"/>
            <w:hideMark/>
          </w:tcPr>
          <w:p w:rsidR="005F1549" w:rsidRPr="005F1549" w:rsidRDefault="005F1549" w:rsidP="005F1549">
            <w:pPr>
              <w:spacing w:after="0" w:line="240" w:lineRule="auto"/>
              <w:jc w:val="center"/>
              <w:rPr>
                <w:rFonts w:cs="Calibri"/>
                <w:b/>
                <w:bCs/>
                <w:i/>
                <w:iCs/>
              </w:rPr>
            </w:pPr>
            <w:r w:rsidRPr="005F1549">
              <w:rPr>
                <w:rFonts w:cs="Calibri"/>
                <w:b/>
                <w:bCs/>
                <w:i/>
                <w:iCs/>
              </w:rPr>
              <w:t> </w:t>
            </w:r>
          </w:p>
        </w:tc>
        <w:tc>
          <w:tcPr>
            <w:tcW w:w="4400" w:type="dxa"/>
            <w:vMerge w:val="restart"/>
            <w:tcBorders>
              <w:top w:val="single" w:sz="8" w:space="0" w:color="92D050"/>
              <w:left w:val="nil"/>
              <w:bottom w:val="single" w:sz="8" w:space="0" w:color="92D050"/>
              <w:right w:val="nil"/>
            </w:tcBorders>
            <w:shd w:val="clear" w:color="auto" w:fill="auto"/>
            <w:vAlign w:val="center"/>
            <w:hideMark/>
          </w:tcPr>
          <w:p w:rsidR="005F1549" w:rsidRPr="005F1549" w:rsidRDefault="005F1549" w:rsidP="005F1549">
            <w:pPr>
              <w:spacing w:after="0" w:line="240" w:lineRule="auto"/>
              <w:jc w:val="center"/>
              <w:rPr>
                <w:rFonts w:cs="Calibri"/>
                <w:b/>
                <w:bCs/>
                <w:i/>
                <w:iCs/>
              </w:rPr>
            </w:pPr>
            <w:r w:rsidRPr="005F1549">
              <w:rPr>
                <w:rFonts w:cs="Calibri"/>
                <w:b/>
                <w:bCs/>
                <w:i/>
                <w:iCs/>
              </w:rPr>
              <w:t>Vrsta ulaganja</w:t>
            </w:r>
          </w:p>
        </w:tc>
        <w:tc>
          <w:tcPr>
            <w:tcW w:w="1120" w:type="dxa"/>
            <w:tcBorders>
              <w:top w:val="single" w:sz="8" w:space="0" w:color="92D050"/>
              <w:left w:val="nil"/>
              <w:bottom w:val="nil"/>
              <w:right w:val="nil"/>
            </w:tcBorders>
            <w:shd w:val="clear" w:color="auto" w:fill="auto"/>
            <w:vAlign w:val="center"/>
            <w:hideMark/>
          </w:tcPr>
          <w:p w:rsidR="005F1549" w:rsidRPr="005F1549" w:rsidRDefault="005F1549" w:rsidP="005F1549">
            <w:pPr>
              <w:spacing w:after="0" w:line="240" w:lineRule="auto"/>
              <w:rPr>
                <w:rFonts w:cs="Calibri"/>
                <w:b/>
                <w:bCs/>
              </w:rPr>
            </w:pPr>
            <w:r w:rsidRPr="005F1549">
              <w:rPr>
                <w:rFonts w:cs="Calibri"/>
                <w:b/>
                <w:bCs/>
              </w:rPr>
              <w:t>PROCJENA</w:t>
            </w:r>
          </w:p>
        </w:tc>
        <w:tc>
          <w:tcPr>
            <w:tcW w:w="3060" w:type="dxa"/>
            <w:gridSpan w:val="3"/>
            <w:tcBorders>
              <w:top w:val="single" w:sz="8" w:space="0" w:color="92D050"/>
              <w:left w:val="nil"/>
              <w:bottom w:val="single" w:sz="8" w:space="0" w:color="92D050"/>
              <w:right w:val="nil"/>
            </w:tcBorders>
            <w:shd w:val="clear" w:color="auto" w:fill="auto"/>
            <w:vAlign w:val="center"/>
            <w:hideMark/>
          </w:tcPr>
          <w:p w:rsidR="005F1549" w:rsidRPr="005F1549" w:rsidRDefault="005F1549" w:rsidP="005F1549">
            <w:pPr>
              <w:spacing w:after="0" w:line="240" w:lineRule="auto"/>
              <w:jc w:val="center"/>
              <w:rPr>
                <w:rFonts w:cs="Calibri"/>
                <w:b/>
                <w:bCs/>
              </w:rPr>
            </w:pPr>
            <w:r w:rsidRPr="005F1549">
              <w:rPr>
                <w:rFonts w:cs="Calibri"/>
                <w:b/>
                <w:bCs/>
              </w:rPr>
              <w:t>PLAN</w:t>
            </w:r>
          </w:p>
        </w:tc>
      </w:tr>
      <w:tr w:rsidR="005F1549" w:rsidRPr="005F1549" w:rsidTr="005F1549">
        <w:trPr>
          <w:trHeight w:val="315"/>
        </w:trPr>
        <w:tc>
          <w:tcPr>
            <w:tcW w:w="380" w:type="dxa"/>
            <w:vMerge/>
            <w:tcBorders>
              <w:top w:val="single" w:sz="8" w:space="0" w:color="92D050"/>
              <w:left w:val="nil"/>
              <w:bottom w:val="single" w:sz="8" w:space="0" w:color="92D050"/>
              <w:right w:val="nil"/>
            </w:tcBorders>
            <w:vAlign w:val="center"/>
            <w:hideMark/>
          </w:tcPr>
          <w:p w:rsidR="005F1549" w:rsidRPr="005F1549" w:rsidRDefault="005F1549" w:rsidP="005F1549">
            <w:pPr>
              <w:spacing w:after="0" w:line="240" w:lineRule="auto"/>
              <w:rPr>
                <w:rFonts w:cs="Calibri"/>
                <w:b/>
                <w:bCs/>
                <w:i/>
                <w:iCs/>
              </w:rPr>
            </w:pPr>
          </w:p>
        </w:tc>
        <w:tc>
          <w:tcPr>
            <w:tcW w:w="4400" w:type="dxa"/>
            <w:vMerge/>
            <w:tcBorders>
              <w:top w:val="single" w:sz="8" w:space="0" w:color="92D050"/>
              <w:left w:val="nil"/>
              <w:bottom w:val="single" w:sz="8" w:space="0" w:color="92D050"/>
              <w:right w:val="nil"/>
            </w:tcBorders>
            <w:vAlign w:val="center"/>
            <w:hideMark/>
          </w:tcPr>
          <w:p w:rsidR="005F1549" w:rsidRPr="005F1549" w:rsidRDefault="005F1549" w:rsidP="005F1549">
            <w:pPr>
              <w:spacing w:after="0" w:line="240" w:lineRule="auto"/>
              <w:rPr>
                <w:rFonts w:cs="Calibri"/>
                <w:b/>
                <w:bCs/>
                <w:i/>
                <w:iCs/>
              </w:rPr>
            </w:pPr>
          </w:p>
        </w:tc>
        <w:tc>
          <w:tcPr>
            <w:tcW w:w="1120" w:type="dxa"/>
            <w:tcBorders>
              <w:top w:val="nil"/>
              <w:left w:val="nil"/>
              <w:bottom w:val="single" w:sz="8" w:space="0" w:color="92D050"/>
              <w:right w:val="nil"/>
            </w:tcBorders>
            <w:shd w:val="clear" w:color="auto" w:fill="auto"/>
            <w:vAlign w:val="center"/>
            <w:hideMark/>
          </w:tcPr>
          <w:p w:rsidR="005F1549" w:rsidRPr="005F1549" w:rsidRDefault="005F1549" w:rsidP="005F1549">
            <w:pPr>
              <w:spacing w:after="0" w:line="240" w:lineRule="auto"/>
              <w:jc w:val="center"/>
              <w:rPr>
                <w:rFonts w:cs="Calibri"/>
                <w:b/>
                <w:bCs/>
              </w:rPr>
            </w:pPr>
            <w:r w:rsidRPr="005F1549">
              <w:rPr>
                <w:rFonts w:cs="Calibri"/>
                <w:b/>
                <w:bCs/>
              </w:rPr>
              <w:t>2018.</w:t>
            </w:r>
          </w:p>
        </w:tc>
        <w:tc>
          <w:tcPr>
            <w:tcW w:w="1020" w:type="dxa"/>
            <w:tcBorders>
              <w:top w:val="nil"/>
              <w:left w:val="nil"/>
              <w:bottom w:val="single" w:sz="8" w:space="0" w:color="92D050"/>
              <w:right w:val="nil"/>
            </w:tcBorders>
            <w:shd w:val="clear" w:color="auto" w:fill="auto"/>
            <w:vAlign w:val="center"/>
            <w:hideMark/>
          </w:tcPr>
          <w:p w:rsidR="005F1549" w:rsidRPr="005F1549" w:rsidRDefault="005F1549" w:rsidP="005F1549">
            <w:pPr>
              <w:spacing w:after="0" w:line="240" w:lineRule="auto"/>
              <w:jc w:val="center"/>
              <w:rPr>
                <w:rFonts w:cs="Calibri"/>
                <w:b/>
                <w:bCs/>
              </w:rPr>
            </w:pPr>
            <w:r w:rsidRPr="005F1549">
              <w:rPr>
                <w:rFonts w:cs="Calibri"/>
                <w:b/>
                <w:bCs/>
              </w:rPr>
              <w:t>2019.</w:t>
            </w:r>
          </w:p>
        </w:tc>
        <w:tc>
          <w:tcPr>
            <w:tcW w:w="1020" w:type="dxa"/>
            <w:tcBorders>
              <w:top w:val="nil"/>
              <w:left w:val="nil"/>
              <w:bottom w:val="single" w:sz="8" w:space="0" w:color="92D050"/>
              <w:right w:val="nil"/>
            </w:tcBorders>
            <w:shd w:val="clear" w:color="auto" w:fill="auto"/>
            <w:vAlign w:val="center"/>
            <w:hideMark/>
          </w:tcPr>
          <w:p w:rsidR="005F1549" w:rsidRPr="005F1549" w:rsidRDefault="005F1549" w:rsidP="005F1549">
            <w:pPr>
              <w:spacing w:after="0" w:line="240" w:lineRule="auto"/>
              <w:jc w:val="center"/>
              <w:rPr>
                <w:rFonts w:cs="Calibri"/>
                <w:b/>
                <w:bCs/>
              </w:rPr>
            </w:pPr>
            <w:r w:rsidRPr="005F1549">
              <w:rPr>
                <w:rFonts w:cs="Calibri"/>
                <w:b/>
                <w:bCs/>
              </w:rPr>
              <w:t>2020.</w:t>
            </w:r>
          </w:p>
        </w:tc>
        <w:tc>
          <w:tcPr>
            <w:tcW w:w="1020" w:type="dxa"/>
            <w:tcBorders>
              <w:top w:val="nil"/>
              <w:left w:val="nil"/>
              <w:bottom w:val="single" w:sz="8" w:space="0" w:color="92D050"/>
              <w:right w:val="nil"/>
            </w:tcBorders>
            <w:shd w:val="clear" w:color="auto" w:fill="auto"/>
            <w:vAlign w:val="center"/>
            <w:hideMark/>
          </w:tcPr>
          <w:p w:rsidR="005F1549" w:rsidRPr="005F1549" w:rsidRDefault="005F1549" w:rsidP="005F1549">
            <w:pPr>
              <w:spacing w:after="0" w:line="240" w:lineRule="auto"/>
              <w:jc w:val="center"/>
              <w:rPr>
                <w:rFonts w:cs="Calibri"/>
                <w:b/>
                <w:bCs/>
              </w:rPr>
            </w:pPr>
            <w:r w:rsidRPr="005F1549">
              <w:rPr>
                <w:rFonts w:cs="Calibri"/>
                <w:b/>
                <w:bCs/>
              </w:rPr>
              <w:t>2021.</w:t>
            </w:r>
          </w:p>
        </w:tc>
      </w:tr>
      <w:tr w:rsidR="005F1549" w:rsidRPr="005F1549" w:rsidTr="005F1549">
        <w:trPr>
          <w:trHeight w:val="300"/>
        </w:trPr>
        <w:tc>
          <w:tcPr>
            <w:tcW w:w="38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center"/>
              <w:rPr>
                <w:rFonts w:cs="Calibri"/>
              </w:rPr>
            </w:pPr>
            <w:r w:rsidRPr="005F1549">
              <w:rPr>
                <w:rFonts w:cs="Calibri"/>
              </w:rPr>
              <w:t>1.</w:t>
            </w:r>
          </w:p>
        </w:tc>
        <w:tc>
          <w:tcPr>
            <w:tcW w:w="440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cs="Calibri"/>
              </w:rPr>
            </w:pPr>
            <w:r w:rsidRPr="005F1549">
              <w:rPr>
                <w:rFonts w:cs="Calibri"/>
              </w:rPr>
              <w:t>Izdaci za razvoj</w:t>
            </w:r>
          </w:p>
        </w:tc>
        <w:tc>
          <w:tcPr>
            <w:tcW w:w="11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610</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620</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500</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500</w:t>
            </w:r>
          </w:p>
        </w:tc>
      </w:tr>
      <w:tr w:rsidR="005F1549" w:rsidRPr="005F1549" w:rsidTr="005F1549">
        <w:trPr>
          <w:trHeight w:val="300"/>
        </w:trPr>
        <w:tc>
          <w:tcPr>
            <w:tcW w:w="38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center"/>
              <w:rPr>
                <w:rFonts w:cs="Calibri"/>
              </w:rPr>
            </w:pPr>
            <w:r w:rsidRPr="005F1549">
              <w:rPr>
                <w:rFonts w:cs="Calibri"/>
              </w:rPr>
              <w:t>2.</w:t>
            </w:r>
          </w:p>
        </w:tc>
        <w:tc>
          <w:tcPr>
            <w:tcW w:w="440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cs="Calibri"/>
              </w:rPr>
            </w:pPr>
            <w:r w:rsidRPr="005F1549">
              <w:rPr>
                <w:rFonts w:cs="Calibri"/>
              </w:rPr>
              <w:t>Software i ostala prava</w:t>
            </w:r>
          </w:p>
        </w:tc>
        <w:tc>
          <w:tcPr>
            <w:tcW w:w="11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7.880</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20.692</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14.634</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15.529</w:t>
            </w:r>
          </w:p>
        </w:tc>
      </w:tr>
      <w:tr w:rsidR="005F1549" w:rsidRPr="005F1549" w:rsidTr="005F1549">
        <w:trPr>
          <w:trHeight w:val="300"/>
        </w:trPr>
        <w:tc>
          <w:tcPr>
            <w:tcW w:w="38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center"/>
              <w:rPr>
                <w:rFonts w:cs="Calibri"/>
              </w:rPr>
            </w:pPr>
            <w:r w:rsidRPr="005F1549">
              <w:rPr>
                <w:rFonts w:cs="Calibri"/>
              </w:rPr>
              <w:t>3.</w:t>
            </w:r>
          </w:p>
        </w:tc>
        <w:tc>
          <w:tcPr>
            <w:tcW w:w="440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cs="Calibri"/>
              </w:rPr>
            </w:pPr>
            <w:r w:rsidRPr="005F1549">
              <w:rPr>
                <w:rFonts w:cs="Calibri"/>
              </w:rPr>
              <w:t>Građevinski objekti (vlastiti prostor)</w:t>
            </w:r>
          </w:p>
        </w:tc>
        <w:tc>
          <w:tcPr>
            <w:tcW w:w="11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585</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3.024</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2.334</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1.350</w:t>
            </w:r>
          </w:p>
        </w:tc>
      </w:tr>
      <w:tr w:rsidR="005F1549" w:rsidRPr="005F1549" w:rsidTr="005F1549">
        <w:trPr>
          <w:trHeight w:val="300"/>
        </w:trPr>
        <w:tc>
          <w:tcPr>
            <w:tcW w:w="38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center"/>
              <w:rPr>
                <w:rFonts w:cs="Calibri"/>
              </w:rPr>
            </w:pPr>
            <w:r w:rsidRPr="005F1549">
              <w:rPr>
                <w:rFonts w:cs="Calibri"/>
              </w:rPr>
              <w:t>4.</w:t>
            </w:r>
          </w:p>
        </w:tc>
        <w:tc>
          <w:tcPr>
            <w:tcW w:w="440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cs="Calibri"/>
              </w:rPr>
            </w:pPr>
            <w:r w:rsidRPr="005F1549">
              <w:rPr>
                <w:rFonts w:cs="Calibri"/>
              </w:rPr>
              <w:t>Kupnja kioska</w:t>
            </w:r>
          </w:p>
        </w:tc>
        <w:tc>
          <w:tcPr>
            <w:tcW w:w="11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897</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613</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674</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741</w:t>
            </w:r>
          </w:p>
        </w:tc>
      </w:tr>
      <w:tr w:rsidR="005F1549" w:rsidRPr="005F1549" w:rsidTr="005F1549">
        <w:trPr>
          <w:trHeight w:val="300"/>
        </w:trPr>
        <w:tc>
          <w:tcPr>
            <w:tcW w:w="38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center"/>
              <w:rPr>
                <w:rFonts w:cs="Calibri"/>
              </w:rPr>
            </w:pPr>
            <w:r w:rsidRPr="005F1549">
              <w:rPr>
                <w:rFonts w:cs="Calibri"/>
              </w:rPr>
              <w:t>5.</w:t>
            </w:r>
          </w:p>
        </w:tc>
        <w:tc>
          <w:tcPr>
            <w:tcW w:w="440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cs="Calibri"/>
              </w:rPr>
            </w:pPr>
            <w:r w:rsidRPr="005F1549">
              <w:rPr>
                <w:rFonts w:cs="Calibri"/>
              </w:rPr>
              <w:t>Automati za igre na sreću</w:t>
            </w:r>
          </w:p>
        </w:tc>
        <w:tc>
          <w:tcPr>
            <w:tcW w:w="11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9.268</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22.547</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7.920</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4.043</w:t>
            </w:r>
          </w:p>
        </w:tc>
      </w:tr>
      <w:tr w:rsidR="005F1549" w:rsidRPr="005F1549" w:rsidTr="005F1549">
        <w:trPr>
          <w:trHeight w:val="300"/>
        </w:trPr>
        <w:tc>
          <w:tcPr>
            <w:tcW w:w="38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center"/>
              <w:rPr>
                <w:rFonts w:cs="Calibri"/>
              </w:rPr>
            </w:pPr>
            <w:r w:rsidRPr="005F1549">
              <w:rPr>
                <w:rFonts w:cs="Calibri"/>
              </w:rPr>
              <w:t>6.</w:t>
            </w:r>
          </w:p>
        </w:tc>
        <w:tc>
          <w:tcPr>
            <w:tcW w:w="440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cs="Calibri"/>
              </w:rPr>
            </w:pPr>
            <w:r w:rsidRPr="005F1549">
              <w:rPr>
                <w:rFonts w:cs="Calibri"/>
              </w:rPr>
              <w:t>Ostala oprema za igre na sreću</w:t>
            </w:r>
          </w:p>
        </w:tc>
        <w:tc>
          <w:tcPr>
            <w:tcW w:w="11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60</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4.900</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1.350</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450</w:t>
            </w:r>
          </w:p>
        </w:tc>
      </w:tr>
      <w:tr w:rsidR="005F1549" w:rsidRPr="005F1549" w:rsidTr="005F1549">
        <w:trPr>
          <w:trHeight w:val="300"/>
        </w:trPr>
        <w:tc>
          <w:tcPr>
            <w:tcW w:w="38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center"/>
              <w:rPr>
                <w:rFonts w:cs="Calibri"/>
              </w:rPr>
            </w:pPr>
            <w:r w:rsidRPr="005F1549">
              <w:rPr>
                <w:rFonts w:cs="Calibri"/>
              </w:rPr>
              <w:t>7.</w:t>
            </w:r>
          </w:p>
        </w:tc>
        <w:tc>
          <w:tcPr>
            <w:tcW w:w="440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cs="Calibri"/>
              </w:rPr>
            </w:pPr>
            <w:r w:rsidRPr="005F1549">
              <w:rPr>
                <w:rFonts w:cs="Calibri"/>
              </w:rPr>
              <w:t>On line oprema za primanje uplata</w:t>
            </w:r>
          </w:p>
        </w:tc>
        <w:tc>
          <w:tcPr>
            <w:tcW w:w="11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520</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1.000</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300</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300</w:t>
            </w:r>
          </w:p>
        </w:tc>
      </w:tr>
      <w:tr w:rsidR="005F1549" w:rsidRPr="005F1549" w:rsidTr="005F1549">
        <w:trPr>
          <w:trHeight w:val="300"/>
        </w:trPr>
        <w:tc>
          <w:tcPr>
            <w:tcW w:w="38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center"/>
              <w:rPr>
                <w:rFonts w:cs="Calibri"/>
              </w:rPr>
            </w:pPr>
            <w:r w:rsidRPr="005F1549">
              <w:rPr>
                <w:rFonts w:cs="Calibri"/>
              </w:rPr>
              <w:t>8.</w:t>
            </w:r>
          </w:p>
        </w:tc>
        <w:tc>
          <w:tcPr>
            <w:tcW w:w="440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cs="Calibri"/>
              </w:rPr>
            </w:pPr>
            <w:r w:rsidRPr="005F1549">
              <w:rPr>
                <w:rFonts w:cs="Calibri"/>
              </w:rPr>
              <w:t>Računalna oprema</w:t>
            </w:r>
          </w:p>
        </w:tc>
        <w:tc>
          <w:tcPr>
            <w:tcW w:w="11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5.443</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6.269</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1.160</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3.460</w:t>
            </w:r>
          </w:p>
        </w:tc>
      </w:tr>
      <w:tr w:rsidR="005F1549" w:rsidRPr="005F1549" w:rsidTr="005F1549">
        <w:trPr>
          <w:trHeight w:val="300"/>
        </w:trPr>
        <w:tc>
          <w:tcPr>
            <w:tcW w:w="38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center"/>
              <w:rPr>
                <w:rFonts w:cs="Calibri"/>
              </w:rPr>
            </w:pPr>
            <w:r w:rsidRPr="005F1549">
              <w:rPr>
                <w:rFonts w:cs="Calibri"/>
              </w:rPr>
              <w:lastRenderedPageBreak/>
              <w:t>9.</w:t>
            </w:r>
          </w:p>
        </w:tc>
        <w:tc>
          <w:tcPr>
            <w:tcW w:w="440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cs="Calibri"/>
              </w:rPr>
            </w:pPr>
            <w:r w:rsidRPr="005F1549">
              <w:rPr>
                <w:rFonts w:cs="Calibri"/>
              </w:rPr>
              <w:t>Ostala oprema</w:t>
            </w:r>
          </w:p>
        </w:tc>
        <w:tc>
          <w:tcPr>
            <w:tcW w:w="11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520</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1.626</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1.320</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960</w:t>
            </w:r>
          </w:p>
        </w:tc>
      </w:tr>
      <w:tr w:rsidR="005F1549" w:rsidRPr="005F1549" w:rsidTr="005F1549">
        <w:trPr>
          <w:trHeight w:val="315"/>
        </w:trPr>
        <w:tc>
          <w:tcPr>
            <w:tcW w:w="38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center"/>
              <w:rPr>
                <w:rFonts w:cs="Calibri"/>
              </w:rPr>
            </w:pPr>
            <w:r w:rsidRPr="005F1549">
              <w:rPr>
                <w:rFonts w:cs="Calibri"/>
              </w:rPr>
              <w:t>10.</w:t>
            </w:r>
          </w:p>
        </w:tc>
        <w:tc>
          <w:tcPr>
            <w:tcW w:w="440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rPr>
                <w:rFonts w:cs="Calibri"/>
              </w:rPr>
            </w:pPr>
            <w:r w:rsidRPr="005F1549">
              <w:rPr>
                <w:rFonts w:cs="Calibri"/>
              </w:rPr>
              <w:t>Alati, pogonski inventar i transportna imovina</w:t>
            </w:r>
          </w:p>
        </w:tc>
        <w:tc>
          <w:tcPr>
            <w:tcW w:w="11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947</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2.332</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2.303</w:t>
            </w:r>
          </w:p>
        </w:tc>
        <w:tc>
          <w:tcPr>
            <w:tcW w:w="1020" w:type="dxa"/>
            <w:tcBorders>
              <w:top w:val="nil"/>
              <w:left w:val="nil"/>
              <w:bottom w:val="nil"/>
              <w:right w:val="nil"/>
            </w:tcBorders>
            <w:shd w:val="clear" w:color="auto" w:fill="auto"/>
            <w:noWrap/>
            <w:vAlign w:val="bottom"/>
            <w:hideMark/>
          </w:tcPr>
          <w:p w:rsidR="005F1549" w:rsidRPr="005F1549" w:rsidRDefault="005F1549" w:rsidP="005F1549">
            <w:pPr>
              <w:spacing w:after="0" w:line="240" w:lineRule="auto"/>
              <w:jc w:val="right"/>
              <w:rPr>
                <w:rFonts w:cs="Calibri"/>
              </w:rPr>
            </w:pPr>
            <w:r w:rsidRPr="005F1549">
              <w:rPr>
                <w:rFonts w:cs="Calibri"/>
              </w:rPr>
              <w:t>1.391</w:t>
            </w:r>
          </w:p>
        </w:tc>
      </w:tr>
      <w:tr w:rsidR="005F1549" w:rsidRPr="005F1549" w:rsidTr="005F1549">
        <w:trPr>
          <w:trHeight w:val="315"/>
        </w:trPr>
        <w:tc>
          <w:tcPr>
            <w:tcW w:w="380" w:type="dxa"/>
            <w:tcBorders>
              <w:top w:val="single" w:sz="8" w:space="0" w:color="92D050"/>
              <w:left w:val="nil"/>
              <w:bottom w:val="single" w:sz="8" w:space="0" w:color="92D050"/>
              <w:right w:val="nil"/>
            </w:tcBorders>
            <w:shd w:val="clear" w:color="auto" w:fill="auto"/>
            <w:vAlign w:val="center"/>
            <w:hideMark/>
          </w:tcPr>
          <w:p w:rsidR="005F1549" w:rsidRPr="005F1549" w:rsidRDefault="005F1549" w:rsidP="005F1549">
            <w:pPr>
              <w:spacing w:after="0" w:line="240" w:lineRule="auto"/>
              <w:jc w:val="center"/>
              <w:rPr>
                <w:rFonts w:cs="Calibri"/>
                <w:b/>
                <w:bCs/>
                <w:i/>
                <w:iCs/>
              </w:rPr>
            </w:pPr>
            <w:r w:rsidRPr="005F1549">
              <w:rPr>
                <w:rFonts w:cs="Calibri"/>
                <w:b/>
                <w:bCs/>
                <w:i/>
                <w:iCs/>
              </w:rPr>
              <w:t> </w:t>
            </w:r>
          </w:p>
        </w:tc>
        <w:tc>
          <w:tcPr>
            <w:tcW w:w="4400" w:type="dxa"/>
            <w:tcBorders>
              <w:top w:val="single" w:sz="8" w:space="0" w:color="92D050"/>
              <w:left w:val="nil"/>
              <w:bottom w:val="single" w:sz="8" w:space="0" w:color="92D050"/>
              <w:right w:val="nil"/>
            </w:tcBorders>
            <w:shd w:val="clear" w:color="auto" w:fill="auto"/>
            <w:vAlign w:val="center"/>
            <w:hideMark/>
          </w:tcPr>
          <w:p w:rsidR="005F1549" w:rsidRPr="005F1549" w:rsidRDefault="005F1549" w:rsidP="005F1549">
            <w:pPr>
              <w:spacing w:after="0" w:line="240" w:lineRule="auto"/>
              <w:jc w:val="center"/>
              <w:rPr>
                <w:rFonts w:cs="Calibri"/>
                <w:b/>
                <w:bCs/>
                <w:i/>
                <w:iCs/>
              </w:rPr>
            </w:pPr>
            <w:r w:rsidRPr="005F1549">
              <w:rPr>
                <w:rFonts w:cs="Calibri"/>
                <w:b/>
                <w:bCs/>
                <w:i/>
                <w:iCs/>
              </w:rPr>
              <w:t>UKUPNO</w:t>
            </w:r>
          </w:p>
        </w:tc>
        <w:tc>
          <w:tcPr>
            <w:tcW w:w="1120" w:type="dxa"/>
            <w:tcBorders>
              <w:top w:val="single" w:sz="8" w:space="0" w:color="92D050"/>
              <w:left w:val="nil"/>
              <w:bottom w:val="single" w:sz="8" w:space="0" w:color="92D050"/>
              <w:right w:val="nil"/>
            </w:tcBorders>
            <w:shd w:val="clear" w:color="auto" w:fill="auto"/>
            <w:vAlign w:val="center"/>
            <w:hideMark/>
          </w:tcPr>
          <w:p w:rsidR="005F1549" w:rsidRPr="005F1549" w:rsidRDefault="005F1549" w:rsidP="005F1549">
            <w:pPr>
              <w:spacing w:after="0" w:line="240" w:lineRule="auto"/>
              <w:jc w:val="right"/>
              <w:rPr>
                <w:rFonts w:cs="Calibri"/>
                <w:b/>
                <w:bCs/>
                <w:i/>
                <w:iCs/>
              </w:rPr>
            </w:pPr>
            <w:r w:rsidRPr="005F1549">
              <w:rPr>
                <w:rFonts w:cs="Calibri"/>
                <w:b/>
                <w:bCs/>
                <w:i/>
                <w:iCs/>
              </w:rPr>
              <w:t>26.731</w:t>
            </w:r>
          </w:p>
        </w:tc>
        <w:tc>
          <w:tcPr>
            <w:tcW w:w="1020" w:type="dxa"/>
            <w:tcBorders>
              <w:top w:val="single" w:sz="8" w:space="0" w:color="92D050"/>
              <w:left w:val="nil"/>
              <w:bottom w:val="single" w:sz="8" w:space="0" w:color="92D050"/>
              <w:right w:val="nil"/>
            </w:tcBorders>
            <w:shd w:val="clear" w:color="auto" w:fill="auto"/>
            <w:vAlign w:val="center"/>
            <w:hideMark/>
          </w:tcPr>
          <w:p w:rsidR="005F1549" w:rsidRPr="005F1549" w:rsidRDefault="005F1549" w:rsidP="005F1549">
            <w:pPr>
              <w:spacing w:after="0" w:line="240" w:lineRule="auto"/>
              <w:jc w:val="right"/>
              <w:rPr>
                <w:rFonts w:cs="Calibri"/>
                <w:b/>
                <w:bCs/>
                <w:i/>
                <w:iCs/>
              </w:rPr>
            </w:pPr>
            <w:r w:rsidRPr="005F1549">
              <w:rPr>
                <w:rFonts w:cs="Calibri"/>
                <w:b/>
                <w:bCs/>
                <w:i/>
                <w:iCs/>
              </w:rPr>
              <w:t>63.623</w:t>
            </w:r>
          </w:p>
        </w:tc>
        <w:tc>
          <w:tcPr>
            <w:tcW w:w="1020" w:type="dxa"/>
            <w:tcBorders>
              <w:top w:val="single" w:sz="8" w:space="0" w:color="92D050"/>
              <w:left w:val="nil"/>
              <w:bottom w:val="single" w:sz="8" w:space="0" w:color="92D050"/>
              <w:right w:val="nil"/>
            </w:tcBorders>
            <w:shd w:val="clear" w:color="auto" w:fill="auto"/>
            <w:vAlign w:val="center"/>
            <w:hideMark/>
          </w:tcPr>
          <w:p w:rsidR="005F1549" w:rsidRPr="005F1549" w:rsidRDefault="005F1549" w:rsidP="005F1549">
            <w:pPr>
              <w:spacing w:after="0" w:line="240" w:lineRule="auto"/>
              <w:jc w:val="right"/>
              <w:rPr>
                <w:rFonts w:cs="Calibri"/>
                <w:b/>
                <w:bCs/>
                <w:i/>
                <w:iCs/>
              </w:rPr>
            </w:pPr>
            <w:r w:rsidRPr="005F1549">
              <w:rPr>
                <w:rFonts w:cs="Calibri"/>
                <w:b/>
                <w:bCs/>
                <w:i/>
                <w:iCs/>
              </w:rPr>
              <w:t>32.496</w:t>
            </w:r>
          </w:p>
        </w:tc>
        <w:tc>
          <w:tcPr>
            <w:tcW w:w="1020" w:type="dxa"/>
            <w:tcBorders>
              <w:top w:val="single" w:sz="8" w:space="0" w:color="92D050"/>
              <w:left w:val="nil"/>
              <w:bottom w:val="single" w:sz="8" w:space="0" w:color="92D050"/>
              <w:right w:val="nil"/>
            </w:tcBorders>
            <w:shd w:val="clear" w:color="auto" w:fill="auto"/>
            <w:vAlign w:val="center"/>
            <w:hideMark/>
          </w:tcPr>
          <w:p w:rsidR="005F1549" w:rsidRPr="005F1549" w:rsidRDefault="005F1549" w:rsidP="005F1549">
            <w:pPr>
              <w:spacing w:after="0" w:line="240" w:lineRule="auto"/>
              <w:jc w:val="right"/>
              <w:rPr>
                <w:rFonts w:cs="Calibri"/>
                <w:b/>
                <w:bCs/>
                <w:i/>
                <w:iCs/>
              </w:rPr>
            </w:pPr>
            <w:r w:rsidRPr="005F1549">
              <w:rPr>
                <w:rFonts w:cs="Calibri"/>
                <w:b/>
                <w:bCs/>
                <w:i/>
                <w:iCs/>
              </w:rPr>
              <w:t>28.724</w:t>
            </w:r>
          </w:p>
        </w:tc>
      </w:tr>
    </w:tbl>
    <w:p w:rsidR="007E646A" w:rsidRDefault="007E646A" w:rsidP="007E646A"/>
    <w:p w:rsidR="000E0980" w:rsidRDefault="000E0980" w:rsidP="00E95247">
      <w:pPr>
        <w:jc w:val="both"/>
      </w:pPr>
    </w:p>
    <w:p w:rsidR="00CA1CF3" w:rsidRDefault="00CA1CF3" w:rsidP="00E95247">
      <w:pPr>
        <w:jc w:val="both"/>
      </w:pPr>
    </w:p>
    <w:p w:rsidR="00E95247" w:rsidRPr="00020716" w:rsidRDefault="00E95247" w:rsidP="00E95247">
      <w:pPr>
        <w:jc w:val="both"/>
      </w:pPr>
      <w:r>
        <w:t>Kao što je vidljivo u Tablici 8., očekuje se veći porast planiranih investicija u dugotrajnu imovinu u 2019.godini,</w:t>
      </w:r>
      <w:r w:rsidR="002D4AE1">
        <w:t xml:space="preserve"> što je direktno vezano za provo</w:t>
      </w:r>
      <w:r>
        <w:t xml:space="preserve">đenje strateških inicijativa, odnosno projekt uvođenja nove platforme za igre, kao i širenje mreže automat klubova i automata na prodajnim mjestima. </w:t>
      </w:r>
      <w:r w:rsidRPr="00020716">
        <w:t>Planirana nova ulaganja u dugotrajnu imovinu Hrvatske Lutrije d.o.o.</w:t>
      </w:r>
      <w:r>
        <w:t xml:space="preserve"> u 2019.godini</w:t>
      </w:r>
      <w:r w:rsidRPr="00020716">
        <w:t xml:space="preserve"> iznose ukupno 63,6 mil</w:t>
      </w:r>
      <w:r>
        <w:t xml:space="preserve">ijuna </w:t>
      </w:r>
      <w:r w:rsidRPr="00020716">
        <w:t>k</w:t>
      </w:r>
      <w:r>
        <w:t>u</w:t>
      </w:r>
      <w:r w:rsidRPr="00020716">
        <w:t>n</w:t>
      </w:r>
      <w:r>
        <w:t>a, te se u narednim godinama smanjuju na 32,5 milijuna kuna (u 2020.godini) te 28,7 milijuna kuna (u 2021.godini).</w:t>
      </w:r>
    </w:p>
    <w:p w:rsidR="00E95247" w:rsidRPr="00020716" w:rsidRDefault="00E95247" w:rsidP="006F5835">
      <w:pPr>
        <w:pStyle w:val="ListParagraph"/>
        <w:numPr>
          <w:ilvl w:val="0"/>
          <w:numId w:val="14"/>
        </w:numPr>
        <w:jc w:val="both"/>
      </w:pPr>
      <w:r w:rsidRPr="00020716">
        <w:t>Ulaganja u nematerijalnu imovinu (točke 1. i 2.)</w:t>
      </w:r>
      <w:r>
        <w:t xml:space="preserve"> u 2019.godini su planirana</w:t>
      </w:r>
      <w:r w:rsidRPr="00020716">
        <w:t xml:space="preserve"> u visini od 21,3</w:t>
      </w:r>
      <w:r>
        <w:t xml:space="preserve"> mil.</w:t>
      </w:r>
      <w:r w:rsidR="006F5835">
        <w:t xml:space="preserve">kn, </w:t>
      </w:r>
      <w:r w:rsidRPr="00020716">
        <w:t>odnose se na: ulaganja u prava za korištenje računalnog software-a i licenci, daljnji razvoj iSustava te brand strategiju u ukupnom iznosu od 16,4</w:t>
      </w:r>
      <w:r>
        <w:t xml:space="preserve"> mil.</w:t>
      </w:r>
      <w:r w:rsidRPr="00020716">
        <w:t>kn. Za ulaganje u tuđe objekte radi uporabe ili poboljšanja, odnosno uređenja i opremanja postojećih poslovnih prostora u zakupu i novih automat klubova planirano je 4,9</w:t>
      </w:r>
      <w:r>
        <w:t xml:space="preserve"> mil.kn. U </w:t>
      </w:r>
      <w:r w:rsidR="006A5F9B">
        <w:t>narednim godinama</w:t>
      </w:r>
      <w:r>
        <w:t xml:space="preserve"> očekuje se smanjenje ulaganja u nematerijalnu imovinu </w:t>
      </w:r>
      <w:r w:rsidR="006A5F9B">
        <w:t xml:space="preserve">u odnosu na 2019.godinu </w:t>
      </w:r>
      <w:r>
        <w:t xml:space="preserve">za 6,2 </w:t>
      </w:r>
      <w:r w:rsidR="006A5F9B">
        <w:t xml:space="preserve">(u 2020. godini), </w:t>
      </w:r>
      <w:r>
        <w:t>odnosno 5,3 milijuna kuna</w:t>
      </w:r>
      <w:r w:rsidR="006A5F9B">
        <w:t xml:space="preserve"> (u 2021.godini)</w:t>
      </w:r>
    </w:p>
    <w:p w:rsidR="00E95247" w:rsidRPr="00020716" w:rsidRDefault="00E95247" w:rsidP="006F5835">
      <w:pPr>
        <w:pStyle w:val="ListParagraph"/>
        <w:numPr>
          <w:ilvl w:val="0"/>
          <w:numId w:val="14"/>
        </w:numPr>
        <w:jc w:val="both"/>
      </w:pPr>
      <w:r w:rsidRPr="00020716">
        <w:t xml:space="preserve">Za ulaganja u građevinske objekte (kupnja kioska i ulaganja u vlastite poslovne prostore) </w:t>
      </w:r>
      <w:r w:rsidR="006A5F9B">
        <w:t>u 2019.godini je planirano</w:t>
      </w:r>
      <w:r w:rsidRPr="00020716">
        <w:t xml:space="preserve"> 3,6</w:t>
      </w:r>
      <w:r>
        <w:t xml:space="preserve"> mil.</w:t>
      </w:r>
      <w:r w:rsidRPr="00020716">
        <w:t>kn,</w:t>
      </w:r>
      <w:r w:rsidR="006A5F9B">
        <w:t xml:space="preserve"> u 2020.godini 3,0 mil.kn, a u 2021.godini 2,1 mil.kn.</w:t>
      </w:r>
    </w:p>
    <w:p w:rsidR="006F5835" w:rsidRDefault="00E95247" w:rsidP="00E95247">
      <w:pPr>
        <w:pStyle w:val="ListParagraph"/>
        <w:numPr>
          <w:ilvl w:val="0"/>
          <w:numId w:val="14"/>
        </w:numPr>
        <w:jc w:val="both"/>
      </w:pPr>
      <w:r w:rsidRPr="00020716">
        <w:t xml:space="preserve">Za nabavu automata za igre na sreću </w:t>
      </w:r>
      <w:r w:rsidR="006A5F9B">
        <w:t>u 2019.godini je planirano</w:t>
      </w:r>
      <w:r w:rsidRPr="00020716">
        <w:t xml:space="preserve"> 22,5</w:t>
      </w:r>
      <w:r>
        <w:t xml:space="preserve"> mil.</w:t>
      </w:r>
      <w:r w:rsidRPr="00020716">
        <w:t>kn,</w:t>
      </w:r>
      <w:r w:rsidR="006A5F9B">
        <w:t xml:space="preserve"> što predstavlja 35,4% ukupno planiranih investicija u 2019.godini. U 2020. godini planirani iznos na ovoj kategoriji je 7,9 mil.kn, a u 2021.godini 4,0 mil.kn</w:t>
      </w:r>
    </w:p>
    <w:p w:rsidR="006F5835" w:rsidRDefault="00E95247" w:rsidP="00E95247">
      <w:pPr>
        <w:pStyle w:val="ListParagraph"/>
        <w:numPr>
          <w:ilvl w:val="0"/>
          <w:numId w:val="14"/>
        </w:numPr>
        <w:jc w:val="both"/>
      </w:pPr>
      <w:r w:rsidRPr="00020716">
        <w:t xml:space="preserve">U smislu povećanja atraktivnosti ponude igara </w:t>
      </w:r>
      <w:r w:rsidR="006F5835">
        <w:t>u 2019.godini je planirana</w:t>
      </w:r>
      <w:r w:rsidRPr="00020716">
        <w:t xml:space="preserve"> nabavka uređaja za igre na sreću u ukupnom iznosu od 4,9</w:t>
      </w:r>
      <w:r>
        <w:t xml:space="preserve"> mil.</w:t>
      </w:r>
      <w:r w:rsidRPr="00020716">
        <w:t>kn</w:t>
      </w:r>
      <w:r w:rsidR="006F5835">
        <w:t>, dok su u 2020. i 2021. godini na istoj poziciji planiraju investicije u iznosu 1,4, odnosno 0,5 milijuna kuna.</w:t>
      </w:r>
    </w:p>
    <w:p w:rsidR="006F5835" w:rsidRDefault="00E95247" w:rsidP="00E95247">
      <w:pPr>
        <w:pStyle w:val="ListParagraph"/>
        <w:numPr>
          <w:ilvl w:val="0"/>
          <w:numId w:val="14"/>
        </w:numPr>
        <w:jc w:val="both"/>
      </w:pPr>
      <w:r w:rsidRPr="00AA6D44">
        <w:t>Planirana ulaganja u opremu za obradu podataka u iznosu od 7,</w:t>
      </w:r>
      <w:r>
        <w:t>3</w:t>
      </w:r>
      <w:r w:rsidRPr="00AA6D44">
        <w:t xml:space="preserve"> mil.kn</w:t>
      </w:r>
      <w:r w:rsidR="006F5835">
        <w:t xml:space="preserve"> u 2019.godini</w:t>
      </w:r>
      <w:r w:rsidRPr="00AA6D44">
        <w:t xml:space="preserve"> najvećim dijelom odnose se na nabavku nove i zamjenu dotrajale računalne opreme (serveri, računala, komunikacijska oprema) u iznosu od 6,3 mil.kn</w:t>
      </w:r>
    </w:p>
    <w:p w:rsidR="006F5835" w:rsidRDefault="00E95247" w:rsidP="006F5835">
      <w:pPr>
        <w:pStyle w:val="ListParagraph"/>
        <w:numPr>
          <w:ilvl w:val="0"/>
          <w:numId w:val="14"/>
        </w:numPr>
        <w:jc w:val="both"/>
      </w:pPr>
      <w:r w:rsidRPr="0088111F">
        <w:t xml:space="preserve">Ulaganja u ostalu opremu </w:t>
      </w:r>
      <w:r w:rsidR="006F5835">
        <w:t xml:space="preserve">u 2019.godini </w:t>
      </w:r>
      <w:r w:rsidRPr="0088111F">
        <w:t>iznose 1,6</w:t>
      </w:r>
      <w:r>
        <w:t xml:space="preserve"> mil.</w:t>
      </w:r>
      <w:r w:rsidRPr="0088111F">
        <w:t>kn, a odnose se na investicije u opremu za video nadzor, opremu za sigurnost i zaštitu, dodatnu opremu za automate i samoposlužne terminale i sl.</w:t>
      </w:r>
      <w:r w:rsidR="006F5835">
        <w:t xml:space="preserve"> U 2020. godini planirani iznos na ovoj kategoriji je 1,3 mil.kn, a u 2021.godini 0,96 mil.kn</w:t>
      </w:r>
    </w:p>
    <w:p w:rsidR="00E95247" w:rsidRDefault="00E95247" w:rsidP="00E95247">
      <w:pPr>
        <w:pStyle w:val="ListParagraph"/>
        <w:numPr>
          <w:ilvl w:val="0"/>
          <w:numId w:val="14"/>
        </w:numPr>
        <w:jc w:val="both"/>
      </w:pPr>
      <w:r w:rsidRPr="00AA6D44">
        <w:t xml:space="preserve">Preostali iznos </w:t>
      </w:r>
      <w:r w:rsidR="006F5835">
        <w:t xml:space="preserve">u planiranim investicijama u 2019.godini </w:t>
      </w:r>
      <w:r w:rsidRPr="00AA6D44">
        <w:t>od 2,3 mil.kn odnosi se na raznu opremu i inventar (namještaj, reklame, LED televizore i slično).</w:t>
      </w:r>
      <w:r w:rsidR="007B5288">
        <w:t xml:space="preserve"> U 2020. i 2021. godini na istoj poziciji planiraju se investicije u iznosu 2,3, odnosno 1,4 milijuna kuna.</w:t>
      </w:r>
    </w:p>
    <w:p w:rsidR="00D50D81" w:rsidRDefault="00D50D81" w:rsidP="00E95247">
      <w:pPr>
        <w:jc w:val="both"/>
      </w:pPr>
    </w:p>
    <w:p w:rsidR="00E95247" w:rsidRDefault="00E95247" w:rsidP="00E95247">
      <w:pPr>
        <w:jc w:val="both"/>
      </w:pPr>
      <w:r>
        <w:lastRenderedPageBreak/>
        <w:t>Planirana ulaganja u dugotrajnu imovinu financirat će se iz vlastitih sredstava.</w:t>
      </w:r>
    </w:p>
    <w:p w:rsidR="00E95247" w:rsidRDefault="00E95247" w:rsidP="007E646A"/>
    <w:p w:rsidR="000E0980" w:rsidRDefault="000E0980" w:rsidP="007E646A"/>
    <w:p w:rsidR="000E0980" w:rsidRDefault="000E0980" w:rsidP="007E646A"/>
    <w:p w:rsidR="000E0980" w:rsidRDefault="000E0980" w:rsidP="007E646A"/>
    <w:p w:rsidR="000E0980" w:rsidRDefault="000E0980" w:rsidP="007E646A"/>
    <w:p w:rsidR="000E0980" w:rsidRDefault="000E0980" w:rsidP="007E646A"/>
    <w:p w:rsidR="000E0980" w:rsidRDefault="000E0980" w:rsidP="007E646A"/>
    <w:p w:rsidR="00CA1CF3" w:rsidRDefault="00CA1CF3" w:rsidP="007E646A"/>
    <w:p w:rsidR="00CA1CF3" w:rsidRDefault="00CA1CF3" w:rsidP="007E646A"/>
    <w:p w:rsidR="00CA1CF3" w:rsidRDefault="00CA1CF3" w:rsidP="007E646A"/>
    <w:p w:rsidR="00CA1CF3" w:rsidRDefault="00CA1CF3" w:rsidP="007E646A"/>
    <w:p w:rsidR="00CA1CF3" w:rsidRDefault="00CA1CF3" w:rsidP="007E646A"/>
    <w:p w:rsidR="00CA1CF3" w:rsidRDefault="00CA1CF3" w:rsidP="007E646A"/>
    <w:p w:rsidR="007E646A" w:rsidRDefault="007E646A" w:rsidP="002D4AE1">
      <w:pPr>
        <w:pStyle w:val="Heading1"/>
        <w:numPr>
          <w:ilvl w:val="1"/>
          <w:numId w:val="16"/>
        </w:numPr>
        <w:jc w:val="both"/>
        <w:rPr>
          <w:rFonts w:ascii="Calibri" w:hAnsi="Calibri" w:cs="Calibri"/>
          <w:sz w:val="28"/>
          <w:szCs w:val="28"/>
        </w:rPr>
      </w:pPr>
      <w:bookmarkStart w:id="34" w:name="_Toc469921250"/>
      <w:bookmarkStart w:id="35" w:name="_Toc501009105"/>
      <w:bookmarkStart w:id="36" w:name="_Toc533660874"/>
      <w:r w:rsidRPr="000C281D">
        <w:rPr>
          <w:rFonts w:ascii="Calibri" w:hAnsi="Calibri" w:cs="Calibri"/>
          <w:sz w:val="28"/>
          <w:szCs w:val="28"/>
        </w:rPr>
        <w:t>Pokazatelji uspješnosti poslovanja</w:t>
      </w:r>
      <w:bookmarkEnd w:id="34"/>
      <w:bookmarkEnd w:id="35"/>
      <w:bookmarkEnd w:id="36"/>
    </w:p>
    <w:p w:rsidR="006109DB" w:rsidRDefault="006109DB" w:rsidP="006109DB">
      <w:pPr>
        <w:rPr>
          <w:b/>
        </w:rPr>
      </w:pPr>
    </w:p>
    <w:p w:rsidR="006109DB" w:rsidRDefault="006109DB" w:rsidP="006109DB">
      <w:pPr>
        <w:rPr>
          <w:b/>
        </w:rPr>
      </w:pPr>
      <w:r w:rsidRPr="006109DB">
        <w:rPr>
          <w:b/>
        </w:rPr>
        <w:t xml:space="preserve">Tablica </w:t>
      </w:r>
      <w:r>
        <w:rPr>
          <w:b/>
        </w:rPr>
        <w:t>9</w:t>
      </w:r>
      <w:r w:rsidRPr="006109DB">
        <w:rPr>
          <w:b/>
        </w:rPr>
        <w:t xml:space="preserve">: </w:t>
      </w:r>
      <w:r>
        <w:rPr>
          <w:b/>
        </w:rPr>
        <w:t>PREGLED POKAZATELJA USPJEŠNOSTI</w:t>
      </w:r>
    </w:p>
    <w:p w:rsidR="00BD666C" w:rsidRPr="006109DB" w:rsidRDefault="00BD666C" w:rsidP="006109DB">
      <w:pPr>
        <w:rPr>
          <w:b/>
        </w:rPr>
      </w:pPr>
    </w:p>
    <w:tbl>
      <w:tblPr>
        <w:tblW w:w="9680" w:type="dxa"/>
        <w:tblLook w:val="04A0" w:firstRow="1" w:lastRow="0" w:firstColumn="1" w:lastColumn="0" w:noHBand="0" w:noVBand="1"/>
      </w:tblPr>
      <w:tblGrid>
        <w:gridCol w:w="4256"/>
        <w:gridCol w:w="1356"/>
        <w:gridCol w:w="1356"/>
        <w:gridCol w:w="1356"/>
        <w:gridCol w:w="1356"/>
      </w:tblGrid>
      <w:tr w:rsidR="00453458" w:rsidRPr="00453458" w:rsidTr="00453458">
        <w:trPr>
          <w:trHeight w:val="390"/>
        </w:trPr>
        <w:tc>
          <w:tcPr>
            <w:tcW w:w="4256" w:type="dxa"/>
            <w:tcBorders>
              <w:top w:val="single" w:sz="8" w:space="0" w:color="92D050"/>
              <w:left w:val="nil"/>
              <w:bottom w:val="nil"/>
              <w:right w:val="nil"/>
            </w:tcBorders>
            <w:shd w:val="clear" w:color="auto" w:fill="auto"/>
            <w:noWrap/>
            <w:vAlign w:val="bottom"/>
            <w:hideMark/>
          </w:tcPr>
          <w:p w:rsidR="00453458" w:rsidRPr="00453458" w:rsidRDefault="00453458" w:rsidP="00453458">
            <w:pPr>
              <w:spacing w:after="0" w:line="240" w:lineRule="auto"/>
              <w:jc w:val="center"/>
              <w:rPr>
                <w:rFonts w:cs="Calibri"/>
                <w:b/>
                <w:bCs/>
                <w:sz w:val="24"/>
                <w:szCs w:val="24"/>
              </w:rPr>
            </w:pPr>
            <w:r w:rsidRPr="00453458">
              <w:rPr>
                <w:rFonts w:cs="Calibri"/>
                <w:b/>
                <w:bCs/>
                <w:sz w:val="24"/>
                <w:szCs w:val="24"/>
              </w:rPr>
              <w:t> </w:t>
            </w:r>
          </w:p>
        </w:tc>
        <w:tc>
          <w:tcPr>
            <w:tcW w:w="1356" w:type="dxa"/>
            <w:tcBorders>
              <w:top w:val="single" w:sz="8" w:space="0" w:color="92D050"/>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b/>
                <w:bCs/>
                <w:sz w:val="24"/>
                <w:szCs w:val="24"/>
              </w:rPr>
            </w:pPr>
            <w:r w:rsidRPr="00453458">
              <w:rPr>
                <w:rFonts w:cs="Calibri"/>
                <w:b/>
                <w:bCs/>
                <w:sz w:val="24"/>
                <w:szCs w:val="24"/>
              </w:rPr>
              <w:t>Procjena</w:t>
            </w:r>
          </w:p>
        </w:tc>
        <w:tc>
          <w:tcPr>
            <w:tcW w:w="1356" w:type="dxa"/>
            <w:tcBorders>
              <w:top w:val="single" w:sz="8" w:space="0" w:color="92D050"/>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b/>
                <w:bCs/>
                <w:sz w:val="24"/>
                <w:szCs w:val="24"/>
              </w:rPr>
            </w:pPr>
            <w:r w:rsidRPr="00453458">
              <w:rPr>
                <w:rFonts w:cs="Calibri"/>
                <w:b/>
                <w:bCs/>
                <w:sz w:val="24"/>
                <w:szCs w:val="24"/>
              </w:rPr>
              <w:t>Plan</w:t>
            </w:r>
          </w:p>
        </w:tc>
        <w:tc>
          <w:tcPr>
            <w:tcW w:w="1356" w:type="dxa"/>
            <w:tcBorders>
              <w:top w:val="single" w:sz="8" w:space="0" w:color="92D050"/>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b/>
                <w:bCs/>
                <w:sz w:val="24"/>
                <w:szCs w:val="24"/>
              </w:rPr>
            </w:pPr>
            <w:r w:rsidRPr="00453458">
              <w:rPr>
                <w:rFonts w:cs="Calibri"/>
                <w:b/>
                <w:bCs/>
                <w:sz w:val="24"/>
                <w:szCs w:val="24"/>
              </w:rPr>
              <w:t>Plan</w:t>
            </w:r>
          </w:p>
        </w:tc>
        <w:tc>
          <w:tcPr>
            <w:tcW w:w="1356" w:type="dxa"/>
            <w:tcBorders>
              <w:top w:val="single" w:sz="8" w:space="0" w:color="92D050"/>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b/>
                <w:bCs/>
                <w:sz w:val="24"/>
                <w:szCs w:val="24"/>
              </w:rPr>
            </w:pPr>
            <w:r w:rsidRPr="00453458">
              <w:rPr>
                <w:rFonts w:cs="Calibri"/>
                <w:b/>
                <w:bCs/>
                <w:sz w:val="24"/>
                <w:szCs w:val="24"/>
              </w:rPr>
              <w:t>Plan</w:t>
            </w:r>
          </w:p>
        </w:tc>
      </w:tr>
      <w:tr w:rsidR="00453458" w:rsidRPr="00453458" w:rsidTr="00453458">
        <w:trPr>
          <w:trHeight w:val="390"/>
        </w:trPr>
        <w:tc>
          <w:tcPr>
            <w:tcW w:w="4256" w:type="dxa"/>
            <w:tcBorders>
              <w:top w:val="nil"/>
              <w:left w:val="nil"/>
              <w:bottom w:val="single" w:sz="8" w:space="0" w:color="92D050"/>
              <w:right w:val="nil"/>
            </w:tcBorders>
            <w:shd w:val="clear" w:color="auto" w:fill="auto"/>
            <w:noWrap/>
            <w:vAlign w:val="center"/>
            <w:hideMark/>
          </w:tcPr>
          <w:p w:rsidR="00453458" w:rsidRPr="00453458" w:rsidRDefault="00453458" w:rsidP="00453458">
            <w:pPr>
              <w:spacing w:after="0" w:line="240" w:lineRule="auto"/>
              <w:jc w:val="center"/>
              <w:rPr>
                <w:rFonts w:cs="Calibri"/>
                <w:b/>
                <w:bCs/>
              </w:rPr>
            </w:pPr>
            <w:r w:rsidRPr="00453458">
              <w:rPr>
                <w:rFonts w:cs="Calibri"/>
                <w:b/>
                <w:bCs/>
              </w:rPr>
              <w:t> </w:t>
            </w:r>
          </w:p>
        </w:tc>
        <w:tc>
          <w:tcPr>
            <w:tcW w:w="1356" w:type="dxa"/>
            <w:tcBorders>
              <w:top w:val="nil"/>
              <w:left w:val="nil"/>
              <w:bottom w:val="single" w:sz="8" w:space="0" w:color="92D050"/>
              <w:right w:val="nil"/>
            </w:tcBorders>
            <w:shd w:val="clear" w:color="auto" w:fill="auto"/>
            <w:noWrap/>
            <w:vAlign w:val="center"/>
            <w:hideMark/>
          </w:tcPr>
          <w:p w:rsidR="00453458" w:rsidRPr="00453458" w:rsidRDefault="00453458" w:rsidP="00453458">
            <w:pPr>
              <w:spacing w:after="0" w:line="240" w:lineRule="auto"/>
              <w:jc w:val="right"/>
              <w:rPr>
                <w:rFonts w:cs="Calibri"/>
                <w:b/>
                <w:bCs/>
              </w:rPr>
            </w:pPr>
            <w:r w:rsidRPr="00453458">
              <w:rPr>
                <w:rFonts w:cs="Calibri"/>
                <w:b/>
                <w:bCs/>
              </w:rPr>
              <w:t xml:space="preserve"> 2018.</w:t>
            </w:r>
          </w:p>
        </w:tc>
        <w:tc>
          <w:tcPr>
            <w:tcW w:w="1356" w:type="dxa"/>
            <w:tcBorders>
              <w:top w:val="nil"/>
              <w:left w:val="nil"/>
              <w:bottom w:val="single" w:sz="8" w:space="0" w:color="92D050"/>
              <w:right w:val="nil"/>
            </w:tcBorders>
            <w:shd w:val="clear" w:color="auto" w:fill="auto"/>
            <w:noWrap/>
            <w:vAlign w:val="center"/>
            <w:hideMark/>
          </w:tcPr>
          <w:p w:rsidR="00453458" w:rsidRPr="00453458" w:rsidRDefault="00453458" w:rsidP="00453458">
            <w:pPr>
              <w:spacing w:after="0" w:line="240" w:lineRule="auto"/>
              <w:jc w:val="right"/>
              <w:rPr>
                <w:rFonts w:cs="Calibri"/>
                <w:b/>
                <w:bCs/>
              </w:rPr>
            </w:pPr>
            <w:r w:rsidRPr="00453458">
              <w:rPr>
                <w:rFonts w:cs="Calibri"/>
                <w:b/>
                <w:bCs/>
              </w:rPr>
              <w:t xml:space="preserve"> 2019.</w:t>
            </w:r>
          </w:p>
        </w:tc>
        <w:tc>
          <w:tcPr>
            <w:tcW w:w="1356" w:type="dxa"/>
            <w:tcBorders>
              <w:top w:val="nil"/>
              <w:left w:val="nil"/>
              <w:bottom w:val="single" w:sz="8" w:space="0" w:color="92D050"/>
              <w:right w:val="nil"/>
            </w:tcBorders>
            <w:shd w:val="clear" w:color="auto" w:fill="auto"/>
            <w:noWrap/>
            <w:vAlign w:val="center"/>
            <w:hideMark/>
          </w:tcPr>
          <w:p w:rsidR="00453458" w:rsidRPr="00453458" w:rsidRDefault="00453458" w:rsidP="00453458">
            <w:pPr>
              <w:spacing w:after="0" w:line="240" w:lineRule="auto"/>
              <w:jc w:val="right"/>
              <w:rPr>
                <w:rFonts w:cs="Calibri"/>
                <w:b/>
                <w:bCs/>
              </w:rPr>
            </w:pPr>
            <w:r w:rsidRPr="00453458">
              <w:rPr>
                <w:rFonts w:cs="Calibri"/>
                <w:b/>
                <w:bCs/>
              </w:rPr>
              <w:t xml:space="preserve"> 2020.</w:t>
            </w:r>
          </w:p>
        </w:tc>
        <w:tc>
          <w:tcPr>
            <w:tcW w:w="1356" w:type="dxa"/>
            <w:tcBorders>
              <w:top w:val="nil"/>
              <w:left w:val="nil"/>
              <w:bottom w:val="single" w:sz="8" w:space="0" w:color="92D050"/>
              <w:right w:val="nil"/>
            </w:tcBorders>
            <w:shd w:val="clear" w:color="auto" w:fill="auto"/>
            <w:noWrap/>
            <w:vAlign w:val="center"/>
            <w:hideMark/>
          </w:tcPr>
          <w:p w:rsidR="00453458" w:rsidRPr="00453458" w:rsidRDefault="00453458" w:rsidP="00453458">
            <w:pPr>
              <w:spacing w:after="0" w:line="240" w:lineRule="auto"/>
              <w:jc w:val="right"/>
              <w:rPr>
                <w:rFonts w:cs="Calibri"/>
                <w:b/>
                <w:bCs/>
              </w:rPr>
            </w:pPr>
            <w:r w:rsidRPr="00453458">
              <w:rPr>
                <w:rFonts w:cs="Calibri"/>
                <w:b/>
                <w:bCs/>
              </w:rPr>
              <w:t xml:space="preserve"> 2021.</w:t>
            </w:r>
          </w:p>
        </w:tc>
      </w:tr>
      <w:tr w:rsidR="00453458" w:rsidRPr="00453458" w:rsidTr="00453458">
        <w:trPr>
          <w:trHeight w:val="390"/>
        </w:trPr>
        <w:tc>
          <w:tcPr>
            <w:tcW w:w="42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rPr>
                <w:rFonts w:cs="Calibri"/>
                <w:b/>
                <w:bCs/>
              </w:rPr>
            </w:pPr>
            <w:r w:rsidRPr="00453458">
              <w:rPr>
                <w:rFonts w:cs="Calibri"/>
                <w:b/>
                <w:bCs/>
              </w:rPr>
              <w:t>Pokazatelji uspješnosti</w:t>
            </w:r>
          </w:p>
        </w:tc>
        <w:tc>
          <w:tcPr>
            <w:tcW w:w="13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rPr>
                <w:rFonts w:cs="Calibri"/>
                <w:b/>
                <w:bCs/>
              </w:rPr>
            </w:pPr>
          </w:p>
        </w:tc>
        <w:tc>
          <w:tcPr>
            <w:tcW w:w="13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jc w:val="right"/>
              <w:rPr>
                <w:rFonts w:ascii="Times New Roman" w:hAnsi="Times New Roman"/>
                <w:sz w:val="20"/>
                <w:szCs w:val="20"/>
              </w:rPr>
            </w:pPr>
          </w:p>
        </w:tc>
        <w:tc>
          <w:tcPr>
            <w:tcW w:w="13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jc w:val="right"/>
              <w:rPr>
                <w:rFonts w:ascii="Times New Roman" w:hAnsi="Times New Roman"/>
                <w:sz w:val="20"/>
                <w:szCs w:val="20"/>
              </w:rPr>
            </w:pPr>
          </w:p>
        </w:tc>
        <w:tc>
          <w:tcPr>
            <w:tcW w:w="13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jc w:val="right"/>
              <w:rPr>
                <w:rFonts w:ascii="Times New Roman" w:hAnsi="Times New Roman"/>
                <w:sz w:val="20"/>
                <w:szCs w:val="20"/>
              </w:rPr>
            </w:pPr>
          </w:p>
        </w:tc>
      </w:tr>
      <w:tr w:rsidR="00453458" w:rsidRPr="00453458" w:rsidTr="00453458">
        <w:trPr>
          <w:trHeight w:val="390"/>
        </w:trPr>
        <w:tc>
          <w:tcPr>
            <w:tcW w:w="42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rPr>
                <w:rFonts w:cs="Calibri"/>
                <w:b/>
                <w:bCs/>
              </w:rPr>
            </w:pPr>
            <w:r w:rsidRPr="00453458">
              <w:rPr>
                <w:rFonts w:cs="Calibri"/>
                <w:b/>
                <w:bCs/>
              </w:rPr>
              <w:t>EBIT (u 000 kn)</w:t>
            </w:r>
          </w:p>
        </w:tc>
        <w:tc>
          <w:tcPr>
            <w:tcW w:w="13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jc w:val="right"/>
              <w:rPr>
                <w:rFonts w:cs="Calibri"/>
                <w:b/>
                <w:bCs/>
              </w:rPr>
            </w:pPr>
            <w:r w:rsidRPr="00453458">
              <w:rPr>
                <w:rFonts w:cs="Calibri"/>
                <w:b/>
                <w:bCs/>
              </w:rPr>
              <w:t>60.173</w:t>
            </w:r>
          </w:p>
        </w:tc>
        <w:tc>
          <w:tcPr>
            <w:tcW w:w="13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jc w:val="right"/>
              <w:rPr>
                <w:rFonts w:cs="Calibri"/>
                <w:b/>
                <w:bCs/>
              </w:rPr>
            </w:pPr>
            <w:r w:rsidRPr="00453458">
              <w:rPr>
                <w:rFonts w:cs="Calibri"/>
                <w:b/>
                <w:bCs/>
              </w:rPr>
              <w:t>61.867</w:t>
            </w:r>
          </w:p>
        </w:tc>
        <w:tc>
          <w:tcPr>
            <w:tcW w:w="13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jc w:val="right"/>
              <w:rPr>
                <w:rFonts w:cs="Calibri"/>
                <w:b/>
                <w:bCs/>
              </w:rPr>
            </w:pPr>
            <w:r w:rsidRPr="00453458">
              <w:rPr>
                <w:rFonts w:cs="Calibri"/>
                <w:b/>
                <w:bCs/>
              </w:rPr>
              <w:t>70.168</w:t>
            </w:r>
          </w:p>
        </w:tc>
        <w:tc>
          <w:tcPr>
            <w:tcW w:w="13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jc w:val="right"/>
              <w:rPr>
                <w:rFonts w:cs="Calibri"/>
                <w:b/>
                <w:bCs/>
              </w:rPr>
            </w:pPr>
            <w:r w:rsidRPr="00453458">
              <w:rPr>
                <w:rFonts w:cs="Calibri"/>
                <w:b/>
                <w:bCs/>
              </w:rPr>
              <w:t>77.131</w:t>
            </w:r>
          </w:p>
        </w:tc>
      </w:tr>
      <w:tr w:rsidR="00453458" w:rsidRPr="00453458" w:rsidTr="00453458">
        <w:trPr>
          <w:trHeight w:val="390"/>
        </w:trPr>
        <w:tc>
          <w:tcPr>
            <w:tcW w:w="42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rPr>
                <w:rFonts w:cs="Calibri"/>
                <w:b/>
                <w:bCs/>
              </w:rPr>
            </w:pPr>
            <w:r w:rsidRPr="00453458">
              <w:rPr>
                <w:rFonts w:cs="Calibri"/>
                <w:b/>
                <w:bCs/>
              </w:rPr>
              <w:t>EBITDA (u 000 kn)</w:t>
            </w:r>
          </w:p>
        </w:tc>
        <w:tc>
          <w:tcPr>
            <w:tcW w:w="13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jc w:val="right"/>
              <w:rPr>
                <w:rFonts w:cs="Calibri"/>
                <w:b/>
                <w:bCs/>
              </w:rPr>
            </w:pPr>
            <w:r w:rsidRPr="00453458">
              <w:rPr>
                <w:rFonts w:cs="Calibri"/>
                <w:b/>
                <w:bCs/>
              </w:rPr>
              <w:t>86.686</w:t>
            </w:r>
          </w:p>
        </w:tc>
        <w:tc>
          <w:tcPr>
            <w:tcW w:w="13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jc w:val="right"/>
              <w:rPr>
                <w:rFonts w:cs="Calibri"/>
                <w:b/>
                <w:bCs/>
              </w:rPr>
            </w:pPr>
            <w:r w:rsidRPr="00453458">
              <w:rPr>
                <w:rFonts w:cs="Calibri"/>
                <w:b/>
                <w:bCs/>
              </w:rPr>
              <w:t>88.749</w:t>
            </w:r>
          </w:p>
        </w:tc>
        <w:tc>
          <w:tcPr>
            <w:tcW w:w="13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jc w:val="right"/>
              <w:rPr>
                <w:rFonts w:cs="Calibri"/>
                <w:b/>
                <w:bCs/>
              </w:rPr>
            </w:pPr>
            <w:r w:rsidRPr="00453458">
              <w:rPr>
                <w:rFonts w:cs="Calibri"/>
                <w:b/>
                <w:bCs/>
              </w:rPr>
              <w:t>97.068</w:t>
            </w:r>
          </w:p>
        </w:tc>
        <w:tc>
          <w:tcPr>
            <w:tcW w:w="13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jc w:val="right"/>
              <w:rPr>
                <w:rFonts w:cs="Calibri"/>
                <w:b/>
                <w:bCs/>
              </w:rPr>
            </w:pPr>
            <w:r w:rsidRPr="00453458">
              <w:rPr>
                <w:rFonts w:cs="Calibri"/>
                <w:b/>
                <w:bCs/>
              </w:rPr>
              <w:t>104.031</w:t>
            </w:r>
          </w:p>
        </w:tc>
      </w:tr>
      <w:tr w:rsidR="00453458" w:rsidRPr="00453458" w:rsidTr="00453458">
        <w:trPr>
          <w:trHeight w:val="390"/>
        </w:trPr>
        <w:tc>
          <w:tcPr>
            <w:tcW w:w="4256" w:type="dxa"/>
            <w:tcBorders>
              <w:top w:val="nil"/>
              <w:left w:val="nil"/>
              <w:bottom w:val="nil"/>
              <w:right w:val="nil"/>
            </w:tcBorders>
            <w:shd w:val="clear" w:color="auto" w:fill="auto"/>
            <w:noWrap/>
            <w:vAlign w:val="center"/>
            <w:hideMark/>
          </w:tcPr>
          <w:p w:rsidR="00453458" w:rsidRPr="00453458" w:rsidRDefault="00453458" w:rsidP="00453458">
            <w:pPr>
              <w:spacing w:after="0" w:line="240" w:lineRule="auto"/>
              <w:rPr>
                <w:rFonts w:cs="Calibri"/>
                <w:b/>
                <w:bCs/>
              </w:rPr>
            </w:pPr>
            <w:r w:rsidRPr="00453458">
              <w:rPr>
                <w:rFonts w:cs="Calibri"/>
                <w:b/>
                <w:bCs/>
              </w:rPr>
              <w:t>EBITDA %</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14,60%</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14,05%</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14,44%</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14,59%</w:t>
            </w:r>
          </w:p>
        </w:tc>
      </w:tr>
      <w:tr w:rsidR="00453458" w:rsidRPr="00453458" w:rsidTr="00453458">
        <w:trPr>
          <w:trHeight w:val="390"/>
        </w:trPr>
        <w:tc>
          <w:tcPr>
            <w:tcW w:w="42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rPr>
                <w:rFonts w:cs="Calibri"/>
                <w:b/>
                <w:bCs/>
              </w:rPr>
            </w:pPr>
            <w:r w:rsidRPr="00453458">
              <w:rPr>
                <w:rFonts w:cs="Calibri"/>
                <w:b/>
                <w:bCs/>
              </w:rPr>
              <w:t>Rentabilnost  ukupne imovine  (ROA)</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15,92%</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14,34%</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15,92%</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17,12%</w:t>
            </w:r>
          </w:p>
        </w:tc>
      </w:tr>
      <w:tr w:rsidR="00453458" w:rsidRPr="00453458" w:rsidTr="00453458">
        <w:trPr>
          <w:trHeight w:val="390"/>
        </w:trPr>
        <w:tc>
          <w:tcPr>
            <w:tcW w:w="42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rPr>
                <w:rFonts w:cs="Calibri"/>
                <w:b/>
                <w:bCs/>
              </w:rPr>
            </w:pPr>
            <w:r w:rsidRPr="00453458">
              <w:rPr>
                <w:rFonts w:cs="Calibri"/>
                <w:b/>
                <w:bCs/>
              </w:rPr>
              <w:t>Rentabilnost vlastitog kapitala (ROE)</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50,15%</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50,27%</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53,30%</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55,60%</w:t>
            </w:r>
          </w:p>
        </w:tc>
      </w:tr>
      <w:tr w:rsidR="00453458" w:rsidRPr="00453458" w:rsidTr="00453458">
        <w:trPr>
          <w:trHeight w:val="390"/>
        </w:trPr>
        <w:tc>
          <w:tcPr>
            <w:tcW w:w="42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rPr>
                <w:rFonts w:cs="Calibri"/>
                <w:b/>
                <w:bCs/>
              </w:rPr>
            </w:pPr>
            <w:r w:rsidRPr="00453458">
              <w:rPr>
                <w:rFonts w:cs="Calibri"/>
                <w:b/>
                <w:bCs/>
              </w:rPr>
              <w:t>Rentabilnost investicija (ROI)</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200,23%</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82,63%</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182,7%</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226,7%</w:t>
            </w:r>
          </w:p>
        </w:tc>
      </w:tr>
      <w:tr w:rsidR="00453458" w:rsidRPr="00453458" w:rsidTr="00453458">
        <w:trPr>
          <w:trHeight w:val="390"/>
        </w:trPr>
        <w:tc>
          <w:tcPr>
            <w:tcW w:w="42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rPr>
                <w:rFonts w:cs="Calibri"/>
              </w:rPr>
            </w:pPr>
            <w:r w:rsidRPr="00453458">
              <w:rPr>
                <w:rFonts w:cs="Calibri"/>
              </w:rPr>
              <w:t>Koeficijent tekuće likvidnosti</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1,44</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1,13</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1,12</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1,15</w:t>
            </w:r>
          </w:p>
        </w:tc>
      </w:tr>
      <w:tr w:rsidR="00453458" w:rsidRPr="00453458" w:rsidTr="00453458">
        <w:trPr>
          <w:trHeight w:val="390"/>
        </w:trPr>
        <w:tc>
          <w:tcPr>
            <w:tcW w:w="42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rPr>
                <w:rFonts w:cs="Calibri"/>
              </w:rPr>
            </w:pPr>
            <w:r w:rsidRPr="00453458">
              <w:rPr>
                <w:rFonts w:cs="Calibri"/>
              </w:rPr>
              <w:t>Neto radni kapital  ( u 000 kn )</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65.535</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25.488</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23.525</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29.385</w:t>
            </w:r>
          </w:p>
        </w:tc>
      </w:tr>
      <w:tr w:rsidR="00453458" w:rsidRPr="00453458" w:rsidTr="00453458">
        <w:trPr>
          <w:trHeight w:val="390"/>
        </w:trPr>
        <w:tc>
          <w:tcPr>
            <w:tcW w:w="42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rPr>
                <w:rFonts w:cs="Calibri"/>
              </w:rPr>
            </w:pPr>
            <w:r w:rsidRPr="00453458">
              <w:rPr>
                <w:rFonts w:cs="Calibri"/>
              </w:rPr>
              <w:t>Koeficijent financijske stabilnosti</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0,68</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0,87</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0,89</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0,86</w:t>
            </w:r>
          </w:p>
        </w:tc>
      </w:tr>
      <w:tr w:rsidR="00453458" w:rsidRPr="00453458" w:rsidTr="00453458">
        <w:trPr>
          <w:trHeight w:val="390"/>
        </w:trPr>
        <w:tc>
          <w:tcPr>
            <w:tcW w:w="42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rPr>
                <w:rFonts w:cs="Calibri"/>
              </w:rPr>
            </w:pPr>
            <w:r w:rsidRPr="00453458">
              <w:rPr>
                <w:rFonts w:cs="Calibri"/>
              </w:rPr>
              <w:t>Samofinanciranje (%)</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51,34%</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46,53%</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47,32%</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47,77%</w:t>
            </w:r>
          </w:p>
        </w:tc>
      </w:tr>
      <w:tr w:rsidR="00453458" w:rsidRPr="00453458" w:rsidTr="00453458">
        <w:trPr>
          <w:trHeight w:val="390"/>
        </w:trPr>
        <w:tc>
          <w:tcPr>
            <w:tcW w:w="42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rPr>
                <w:rFonts w:cs="Calibri"/>
              </w:rPr>
            </w:pPr>
            <w:r w:rsidRPr="00453458">
              <w:rPr>
                <w:rFonts w:cs="Calibri"/>
              </w:rPr>
              <w:t>Stupanj zaduženosti (%)</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48,66%</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53,47%</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52,68%</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52,23%</w:t>
            </w:r>
          </w:p>
        </w:tc>
      </w:tr>
      <w:tr w:rsidR="00453458" w:rsidRPr="00453458" w:rsidTr="00453458">
        <w:trPr>
          <w:trHeight w:val="390"/>
        </w:trPr>
        <w:tc>
          <w:tcPr>
            <w:tcW w:w="42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rPr>
                <w:rFonts w:cs="Calibri"/>
              </w:rPr>
            </w:pPr>
            <w:r w:rsidRPr="00453458">
              <w:rPr>
                <w:rFonts w:cs="Calibri"/>
              </w:rPr>
              <w:t>Koeficijent aktivnosti ukupne imovine</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1,82</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1,73</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1,81</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1,88</w:t>
            </w:r>
          </w:p>
        </w:tc>
      </w:tr>
      <w:tr w:rsidR="00453458" w:rsidRPr="00453458" w:rsidTr="00453458">
        <w:trPr>
          <w:trHeight w:val="390"/>
        </w:trPr>
        <w:tc>
          <w:tcPr>
            <w:tcW w:w="42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rPr>
                <w:rFonts w:cs="Calibri"/>
              </w:rPr>
            </w:pPr>
            <w:r w:rsidRPr="00453458">
              <w:rPr>
                <w:rFonts w:cs="Calibri"/>
              </w:rPr>
              <w:t xml:space="preserve">Ekonomičnost </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1,12</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1,11</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1,12</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1,12</w:t>
            </w:r>
          </w:p>
        </w:tc>
      </w:tr>
      <w:tr w:rsidR="00453458" w:rsidRPr="00453458" w:rsidTr="00453458">
        <w:trPr>
          <w:trHeight w:val="390"/>
        </w:trPr>
        <w:tc>
          <w:tcPr>
            <w:tcW w:w="42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rPr>
                <w:rFonts w:cs="Calibri"/>
              </w:rPr>
            </w:pPr>
            <w:r w:rsidRPr="00453458">
              <w:rPr>
                <w:rFonts w:cs="Calibri"/>
              </w:rPr>
              <w:t>Profitabilnost (%)</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8,75%</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8,29%</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8,80%</w:t>
            </w:r>
          </w:p>
        </w:tc>
        <w:tc>
          <w:tcPr>
            <w:tcW w:w="1356" w:type="dxa"/>
            <w:tcBorders>
              <w:top w:val="nil"/>
              <w:left w:val="nil"/>
              <w:bottom w:val="nil"/>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9,10%</w:t>
            </w:r>
          </w:p>
        </w:tc>
      </w:tr>
      <w:tr w:rsidR="00453458" w:rsidRPr="00453458" w:rsidTr="00453458">
        <w:trPr>
          <w:trHeight w:val="390"/>
        </w:trPr>
        <w:tc>
          <w:tcPr>
            <w:tcW w:w="4256" w:type="dxa"/>
            <w:tcBorders>
              <w:top w:val="nil"/>
              <w:left w:val="nil"/>
              <w:bottom w:val="single" w:sz="12" w:space="0" w:color="92D050"/>
              <w:right w:val="nil"/>
            </w:tcBorders>
            <w:shd w:val="clear" w:color="auto" w:fill="auto"/>
            <w:noWrap/>
            <w:vAlign w:val="bottom"/>
            <w:hideMark/>
          </w:tcPr>
          <w:p w:rsidR="00453458" w:rsidRPr="00453458" w:rsidRDefault="00453458" w:rsidP="00453458">
            <w:pPr>
              <w:spacing w:after="0" w:line="240" w:lineRule="auto"/>
              <w:rPr>
                <w:rFonts w:cs="Calibri"/>
              </w:rPr>
            </w:pPr>
            <w:r w:rsidRPr="00453458">
              <w:rPr>
                <w:rFonts w:cs="Calibri"/>
              </w:rPr>
              <w:t>Produktivnost ( u 000 kn )</w:t>
            </w:r>
          </w:p>
        </w:tc>
        <w:tc>
          <w:tcPr>
            <w:tcW w:w="1356" w:type="dxa"/>
            <w:tcBorders>
              <w:top w:val="nil"/>
              <w:left w:val="nil"/>
              <w:bottom w:val="single" w:sz="12" w:space="0" w:color="92D050"/>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459,28</w:t>
            </w:r>
          </w:p>
        </w:tc>
        <w:tc>
          <w:tcPr>
            <w:tcW w:w="1356" w:type="dxa"/>
            <w:tcBorders>
              <w:top w:val="nil"/>
              <w:left w:val="nil"/>
              <w:bottom w:val="single" w:sz="12" w:space="0" w:color="92D050"/>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440,49</w:t>
            </w:r>
          </w:p>
        </w:tc>
        <w:tc>
          <w:tcPr>
            <w:tcW w:w="1356" w:type="dxa"/>
            <w:tcBorders>
              <w:top w:val="nil"/>
              <w:left w:val="nil"/>
              <w:bottom w:val="single" w:sz="12" w:space="0" w:color="92D050"/>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468,14</w:t>
            </w:r>
          </w:p>
        </w:tc>
        <w:tc>
          <w:tcPr>
            <w:tcW w:w="1356" w:type="dxa"/>
            <w:tcBorders>
              <w:top w:val="nil"/>
              <w:left w:val="nil"/>
              <w:bottom w:val="single" w:sz="12" w:space="0" w:color="92D050"/>
              <w:right w:val="nil"/>
            </w:tcBorders>
            <w:shd w:val="clear" w:color="auto" w:fill="auto"/>
            <w:noWrap/>
            <w:vAlign w:val="bottom"/>
            <w:hideMark/>
          </w:tcPr>
          <w:p w:rsidR="00453458" w:rsidRPr="00453458" w:rsidRDefault="00453458" w:rsidP="00453458">
            <w:pPr>
              <w:spacing w:after="0" w:line="240" w:lineRule="auto"/>
              <w:jc w:val="right"/>
              <w:rPr>
                <w:rFonts w:cs="Calibri"/>
              </w:rPr>
            </w:pPr>
            <w:r w:rsidRPr="00453458">
              <w:rPr>
                <w:rFonts w:cs="Calibri"/>
              </w:rPr>
              <w:t>488,23</w:t>
            </w:r>
          </w:p>
        </w:tc>
      </w:tr>
    </w:tbl>
    <w:p w:rsidR="009822CE" w:rsidRPr="0011233E" w:rsidRDefault="009822CE" w:rsidP="009822CE">
      <w:pPr>
        <w:tabs>
          <w:tab w:val="left" w:pos="284"/>
          <w:tab w:val="left" w:pos="1530"/>
        </w:tabs>
        <w:spacing w:line="360" w:lineRule="auto"/>
        <w:ind w:right="-49"/>
        <w:jc w:val="both"/>
        <w:rPr>
          <w:rFonts w:cs="Calibri"/>
          <w:b/>
          <w:szCs w:val="24"/>
        </w:rPr>
      </w:pPr>
    </w:p>
    <w:p w:rsidR="009822CE" w:rsidRPr="0011233E" w:rsidRDefault="009822CE" w:rsidP="00CD3AA4">
      <w:pPr>
        <w:shd w:val="clear" w:color="auto" w:fill="FFFFFF"/>
        <w:tabs>
          <w:tab w:val="left" w:pos="426"/>
        </w:tabs>
        <w:ind w:right="142"/>
        <w:jc w:val="both"/>
        <w:rPr>
          <w:rFonts w:cs="Calibri"/>
          <w:b/>
        </w:rPr>
      </w:pPr>
      <w:r w:rsidRPr="0011233E">
        <w:rPr>
          <w:rFonts w:cs="Calibri"/>
          <w:b/>
        </w:rPr>
        <w:t xml:space="preserve">EBIT - </w:t>
      </w:r>
      <w:r w:rsidRPr="0011233E">
        <w:rPr>
          <w:rFonts w:cs="Calibri"/>
        </w:rPr>
        <w:t xml:space="preserve">operativna dobit ili razlika između poslovnih prihoda i poslovnih rashoda, odnosno dobit prije kamata i poreza na dobit </w:t>
      </w:r>
      <w:r>
        <w:rPr>
          <w:rFonts w:cs="Calibri"/>
        </w:rPr>
        <w:t>procijenjena je za 2018</w:t>
      </w:r>
      <w:r w:rsidRPr="0011233E">
        <w:rPr>
          <w:rFonts w:cs="Calibri"/>
        </w:rPr>
        <w:t xml:space="preserve">. godinu u iznosu od </w:t>
      </w:r>
      <w:r>
        <w:rPr>
          <w:rFonts w:cs="Calibri"/>
        </w:rPr>
        <w:t>60.173</w:t>
      </w:r>
      <w:r w:rsidRPr="0011233E">
        <w:rPr>
          <w:rFonts w:cs="Calibri"/>
        </w:rPr>
        <w:t xml:space="preserve"> tisuća kn</w:t>
      </w:r>
      <w:r>
        <w:rPr>
          <w:rFonts w:cs="Calibri"/>
        </w:rPr>
        <w:t>, te je planiran njen kontinuirani rast od 61.867 tisuća kn u 2019. godini do 77.131 tisuća kn u 2021. godini.</w:t>
      </w:r>
    </w:p>
    <w:p w:rsidR="009822CE" w:rsidRPr="0011233E" w:rsidRDefault="009822CE" w:rsidP="009822CE">
      <w:pPr>
        <w:ind w:right="142"/>
        <w:jc w:val="both"/>
        <w:rPr>
          <w:rFonts w:cs="Calibri"/>
          <w:b/>
        </w:rPr>
      </w:pPr>
      <w:r w:rsidRPr="0011233E">
        <w:rPr>
          <w:rFonts w:cs="Calibri"/>
          <w:b/>
        </w:rPr>
        <w:t xml:space="preserve">EBITDA - </w:t>
      </w:r>
      <w:r w:rsidRPr="0011233E">
        <w:rPr>
          <w:rFonts w:cs="Calibri"/>
        </w:rPr>
        <w:t xml:space="preserve">operativna dobit uvećana za amortizaciju </w:t>
      </w:r>
      <w:r>
        <w:rPr>
          <w:rFonts w:cs="Calibri"/>
        </w:rPr>
        <w:t>planirana je prosječnom godišnjom stopom rasta od 6,27%</w:t>
      </w:r>
      <w:r w:rsidRPr="0011233E">
        <w:rPr>
          <w:rFonts w:cs="Calibri"/>
        </w:rPr>
        <w:t xml:space="preserve"> u odnosu na </w:t>
      </w:r>
      <w:r>
        <w:rPr>
          <w:rFonts w:cs="Calibri"/>
        </w:rPr>
        <w:t>procjenu 2018. godine</w:t>
      </w:r>
      <w:r w:rsidRPr="0011233E">
        <w:rPr>
          <w:rFonts w:cs="Calibri"/>
        </w:rPr>
        <w:t>.</w:t>
      </w:r>
    </w:p>
    <w:p w:rsidR="009822CE" w:rsidRPr="0011233E" w:rsidRDefault="009822CE" w:rsidP="009822CE">
      <w:pPr>
        <w:ind w:right="142"/>
        <w:jc w:val="both"/>
        <w:rPr>
          <w:rFonts w:cs="Calibri"/>
        </w:rPr>
      </w:pPr>
      <w:r w:rsidRPr="0011233E">
        <w:rPr>
          <w:rFonts w:cs="Calibri"/>
          <w:b/>
        </w:rPr>
        <w:t>Rentabilnost ukupne imovine (ROA)</w:t>
      </w:r>
      <w:r w:rsidRPr="0011233E">
        <w:rPr>
          <w:rFonts w:cs="Calibri"/>
        </w:rPr>
        <w:t xml:space="preserve"> ili povrat na ukupnu imovinu je indikator uspješnosti ukupne imovine i odnosi se na dobit koju Društvo generira iz jedne novčane jedinice imovine. </w:t>
      </w:r>
      <w:r>
        <w:rPr>
          <w:rFonts w:cs="Calibri"/>
        </w:rPr>
        <w:t>U procijenjenom i planiranom periodu 2018.-2021. godine ROA se kreće unutar stabilnih 14,34-17,12%.</w:t>
      </w:r>
    </w:p>
    <w:p w:rsidR="009822CE" w:rsidRDefault="009822CE" w:rsidP="009822CE">
      <w:pPr>
        <w:ind w:right="142"/>
        <w:jc w:val="both"/>
        <w:rPr>
          <w:rFonts w:cs="Calibri"/>
        </w:rPr>
      </w:pPr>
      <w:r w:rsidRPr="0011233E">
        <w:rPr>
          <w:rFonts w:cs="Calibri"/>
          <w:b/>
        </w:rPr>
        <w:t>Rentabilnost vlastitog kapitala (ROE)</w:t>
      </w:r>
      <w:r w:rsidRPr="0011233E">
        <w:rPr>
          <w:rFonts w:cs="Calibri"/>
        </w:rPr>
        <w:t xml:space="preserve"> ili povrat na kapital pokazuje kolika je dobi</w:t>
      </w:r>
      <w:r>
        <w:rPr>
          <w:rFonts w:cs="Calibri"/>
        </w:rPr>
        <w:t xml:space="preserve">t po kuni uloženog kapitala. </w:t>
      </w:r>
      <w:r w:rsidRPr="00246C2F">
        <w:rPr>
          <w:rFonts w:cs="Calibri"/>
        </w:rPr>
        <w:t>U procijenjenom i planirano</w:t>
      </w:r>
      <w:r>
        <w:rPr>
          <w:rFonts w:cs="Calibri"/>
        </w:rPr>
        <w:t>m periodu 2018.-2021. godine ROE</w:t>
      </w:r>
      <w:r w:rsidRPr="00246C2F">
        <w:rPr>
          <w:rFonts w:cs="Calibri"/>
        </w:rPr>
        <w:t xml:space="preserve"> se kreće unutar </w:t>
      </w:r>
      <w:r>
        <w:rPr>
          <w:rFonts w:cs="Calibri"/>
        </w:rPr>
        <w:t>50,15-55,60</w:t>
      </w:r>
      <w:r w:rsidRPr="00246C2F">
        <w:rPr>
          <w:rFonts w:cs="Calibri"/>
        </w:rPr>
        <w:t>%</w:t>
      </w:r>
      <w:r>
        <w:rPr>
          <w:rFonts w:cs="Calibri"/>
        </w:rPr>
        <w:t xml:space="preserve"> uz kontinuirani rast</w:t>
      </w:r>
      <w:r w:rsidRPr="00246C2F">
        <w:rPr>
          <w:rFonts w:cs="Calibri"/>
        </w:rPr>
        <w:t>.</w:t>
      </w:r>
    </w:p>
    <w:p w:rsidR="009822CE" w:rsidRPr="00CD3AA4" w:rsidRDefault="009822CE" w:rsidP="00CD3AA4">
      <w:pPr>
        <w:ind w:right="142"/>
        <w:jc w:val="both"/>
        <w:rPr>
          <w:rFonts w:cs="Calibri"/>
        </w:rPr>
      </w:pPr>
      <w:r w:rsidRPr="0011233E">
        <w:rPr>
          <w:rFonts w:cs="Calibri"/>
          <w:b/>
        </w:rPr>
        <w:t>Rentabilnost investicija (ROI)</w:t>
      </w:r>
      <w:r w:rsidRPr="0011233E">
        <w:rPr>
          <w:rFonts w:cs="Calibri"/>
        </w:rPr>
        <w:t xml:space="preserve"> ili povrat od investicijskih ulaganja pokazuje odnos novih investicija i neto dobiti, odnosno pokazuje kolika je neto dobit po kuni investiranog. </w:t>
      </w:r>
      <w:r>
        <w:rPr>
          <w:rFonts w:cs="Calibri"/>
        </w:rPr>
        <w:t>Ovaj pokazatelj je visok zbog odličnih neto rezultata, osim u planu 2019. godine- zbog povećanih investicijskih ulaganja.</w:t>
      </w:r>
    </w:p>
    <w:p w:rsidR="009822CE" w:rsidRPr="00CD3AA4" w:rsidRDefault="009822CE" w:rsidP="009822CE">
      <w:pPr>
        <w:tabs>
          <w:tab w:val="left" w:pos="284"/>
        </w:tabs>
        <w:ind w:right="142"/>
        <w:jc w:val="both"/>
        <w:rPr>
          <w:rFonts w:cs="Calibri"/>
        </w:rPr>
      </w:pPr>
      <w:r w:rsidRPr="0011233E">
        <w:rPr>
          <w:rFonts w:cs="Calibri"/>
          <w:b/>
        </w:rPr>
        <w:t>Koeficijent tekuće likvidnosti</w:t>
      </w:r>
      <w:r w:rsidRPr="0011233E">
        <w:rPr>
          <w:rFonts w:cs="Calibri"/>
        </w:rPr>
        <w:t xml:space="preserve"> je pokazatelj koji mjeri sposobnost Društva da podmiri svoje kratkoročne obveze kratkotrajnom imovinom. Koeficijent likvidnosti</w:t>
      </w:r>
      <w:r>
        <w:rPr>
          <w:rFonts w:cs="Calibri"/>
        </w:rPr>
        <w:t xml:space="preserve"> </w:t>
      </w:r>
      <w:r w:rsidRPr="0011233E">
        <w:rPr>
          <w:rFonts w:cs="Calibri"/>
        </w:rPr>
        <w:t xml:space="preserve"> </w:t>
      </w:r>
      <w:r>
        <w:rPr>
          <w:rFonts w:cs="Calibri"/>
        </w:rPr>
        <w:t>je u svim godinama trogodišnjeg plana iznad 1,1.</w:t>
      </w:r>
    </w:p>
    <w:p w:rsidR="009822CE" w:rsidRPr="0011233E" w:rsidRDefault="009822CE" w:rsidP="009822CE">
      <w:pPr>
        <w:tabs>
          <w:tab w:val="left" w:pos="284"/>
        </w:tabs>
        <w:ind w:right="142"/>
        <w:jc w:val="both"/>
        <w:rPr>
          <w:rFonts w:cs="Calibri"/>
        </w:rPr>
      </w:pPr>
      <w:r w:rsidRPr="0011233E">
        <w:rPr>
          <w:rFonts w:cs="Calibri"/>
          <w:b/>
        </w:rPr>
        <w:t>Neto radni kapital</w:t>
      </w:r>
      <w:r w:rsidRPr="0011233E">
        <w:rPr>
          <w:rFonts w:cs="Calibri"/>
        </w:rPr>
        <w:t xml:space="preserve"> je važan za održavanje likvidnosti i predstavlja razliku između kratkotrajne imovine i kratkoročnih obveza. </w:t>
      </w:r>
      <w:r>
        <w:rPr>
          <w:rFonts w:cs="Calibri"/>
        </w:rPr>
        <w:t>Na promjenu u neto ranom kapitalu u kratkoročnoj imovini najviše utječu novčana sredstva, dok u kratkoročnim obvezama najviše utječu obveze za fondove dobitaka igračima.</w:t>
      </w:r>
      <w:r w:rsidRPr="0011233E">
        <w:rPr>
          <w:rFonts w:cs="Calibri"/>
        </w:rPr>
        <w:t xml:space="preserve"> </w:t>
      </w:r>
      <w:r>
        <w:rPr>
          <w:rFonts w:cs="Calibri"/>
        </w:rPr>
        <w:t>Budući je procijenjeno da će obveze prema dobitnicima na kraju 2018. godine biti nešto niže u odnosu na planske podatke za 2019.-2021., to je utjecalo na viši neto radni kapital u procjeni 2018. u odnosu na planske podatke.</w:t>
      </w:r>
    </w:p>
    <w:p w:rsidR="009822CE" w:rsidRPr="00CD3AA4" w:rsidRDefault="009822CE" w:rsidP="009822CE">
      <w:pPr>
        <w:tabs>
          <w:tab w:val="left" w:pos="284"/>
        </w:tabs>
        <w:ind w:right="142"/>
        <w:jc w:val="both"/>
        <w:rPr>
          <w:rFonts w:cs="Calibri"/>
        </w:rPr>
      </w:pPr>
      <w:r w:rsidRPr="0011233E">
        <w:rPr>
          <w:rFonts w:cs="Calibri"/>
        </w:rPr>
        <w:t xml:space="preserve">Obveze prema dobitnicima predstavljaju potencijalne obveze za dobitke, a  formiraju se temeljem utvrđenog fonda dobitaka za svaku lutrijsku igru (člankom 16. Zakona o igrama na sreću utvrđuje se minimalni fond dobitaka koji iznosi najmanje 50% od osnovice koju čini ukupna vrijednost primljenih uplata za pojedinu igru, umanjena za obvezu naknade za priređivanje lutrijskih igara – 10% koncesijska naknada). Stvarna obveza nastaje  tek trenutkom ostvarenja dobitka </w:t>
      </w:r>
      <w:r w:rsidR="00CD3AA4">
        <w:rPr>
          <w:rFonts w:cs="Calibri"/>
        </w:rPr>
        <w:t>za svaku igru u pojedinom kolu.</w:t>
      </w:r>
    </w:p>
    <w:p w:rsidR="009822CE" w:rsidRPr="0011233E" w:rsidRDefault="009822CE" w:rsidP="00CD3AA4">
      <w:pPr>
        <w:ind w:right="142"/>
        <w:jc w:val="both"/>
        <w:rPr>
          <w:rFonts w:cs="Calibri"/>
        </w:rPr>
      </w:pPr>
      <w:r w:rsidRPr="0011233E">
        <w:rPr>
          <w:rFonts w:cs="Calibri"/>
          <w:b/>
        </w:rPr>
        <w:t>Koeficijent financijske stabilnosti</w:t>
      </w:r>
      <w:r w:rsidRPr="0011233E">
        <w:rPr>
          <w:rFonts w:cs="Calibri"/>
        </w:rPr>
        <w:t xml:space="preserve"> pokazuje s kojim dijelom dugoročnih izvora raspolaže Društvo u odnosu na dugotrajnu imovinu, tj. da se iz dugoročnih izvora dijelom financira i kratkotrajna imovina (poželjno je da bude &lt; 1,0). Ovaj koeficijent je </w:t>
      </w:r>
      <w:r>
        <w:rPr>
          <w:rFonts w:cs="Calibri"/>
        </w:rPr>
        <w:t>manji od 0,9 u svim godinama do 2021.</w:t>
      </w:r>
      <w:r w:rsidR="00CD3AA4">
        <w:rPr>
          <w:rFonts w:cs="Calibri"/>
        </w:rPr>
        <w:tab/>
      </w:r>
      <w:r w:rsidR="00CD3AA4">
        <w:rPr>
          <w:rFonts w:cs="Calibri"/>
        </w:rPr>
        <w:tab/>
      </w:r>
      <w:r w:rsidR="00CD3AA4">
        <w:rPr>
          <w:rFonts w:cs="Calibri"/>
        </w:rPr>
        <w:tab/>
      </w:r>
      <w:r w:rsidR="00CD3AA4">
        <w:rPr>
          <w:rFonts w:cs="Calibri"/>
        </w:rPr>
        <w:tab/>
      </w:r>
    </w:p>
    <w:p w:rsidR="009822CE" w:rsidRPr="00CD3AA4" w:rsidRDefault="009822CE" w:rsidP="009822CE">
      <w:pPr>
        <w:ind w:right="142"/>
        <w:jc w:val="both"/>
        <w:rPr>
          <w:rFonts w:cs="Calibri"/>
        </w:rPr>
      </w:pPr>
      <w:r w:rsidRPr="0011233E">
        <w:rPr>
          <w:rFonts w:cs="Calibri"/>
          <w:b/>
        </w:rPr>
        <w:lastRenderedPageBreak/>
        <w:t>Samofinanciranje</w:t>
      </w:r>
      <w:r w:rsidRPr="0011233E">
        <w:rPr>
          <w:rFonts w:cs="Calibri"/>
        </w:rPr>
        <w:t xml:space="preserve"> pokazuje udjel vlastitih u ukupnim izvorima,</w:t>
      </w:r>
      <w:r>
        <w:rPr>
          <w:rFonts w:cs="Calibri"/>
        </w:rPr>
        <w:t xml:space="preserve"> za 2018. je procijenjeno na 51,3%,</w:t>
      </w:r>
      <w:r w:rsidRPr="0011233E">
        <w:rPr>
          <w:rFonts w:cs="Calibri"/>
        </w:rPr>
        <w:t xml:space="preserve"> </w:t>
      </w:r>
      <w:r>
        <w:rPr>
          <w:rFonts w:cs="Calibri"/>
        </w:rPr>
        <w:t>a</w:t>
      </w:r>
      <w:r w:rsidRPr="00EF1123">
        <w:rPr>
          <w:rFonts w:cs="Calibri"/>
        </w:rPr>
        <w:t xml:space="preserve"> u planiranim godinama kreće</w:t>
      </w:r>
      <w:r>
        <w:rPr>
          <w:rFonts w:cs="Calibri"/>
        </w:rPr>
        <w:t xml:space="preserve"> se u rasponu 46,5 – 47,8</w:t>
      </w:r>
      <w:r w:rsidRPr="00EF1123">
        <w:rPr>
          <w:rFonts w:cs="Calibri"/>
        </w:rPr>
        <w:t>%</w:t>
      </w:r>
      <w:r>
        <w:rPr>
          <w:rFonts w:cs="Calibri"/>
        </w:rPr>
        <w:t>.</w:t>
      </w:r>
      <w:r w:rsidRPr="0011233E">
        <w:rPr>
          <w:rFonts w:cs="Calibri"/>
        </w:rPr>
        <w:tab/>
      </w:r>
      <w:r w:rsidRPr="0011233E">
        <w:rPr>
          <w:rFonts w:cs="Calibri"/>
        </w:rPr>
        <w:tab/>
      </w:r>
      <w:r w:rsidRPr="0011233E">
        <w:rPr>
          <w:rFonts w:cs="Calibri"/>
        </w:rPr>
        <w:tab/>
      </w:r>
      <w:r w:rsidRPr="0011233E">
        <w:rPr>
          <w:rFonts w:cs="Calibri"/>
        </w:rPr>
        <w:tab/>
      </w:r>
    </w:p>
    <w:p w:rsidR="009822CE" w:rsidRPr="0011233E" w:rsidRDefault="009822CE" w:rsidP="00CD3AA4">
      <w:pPr>
        <w:ind w:right="142"/>
        <w:jc w:val="both"/>
        <w:rPr>
          <w:rFonts w:cs="Calibri"/>
        </w:rPr>
      </w:pPr>
      <w:r w:rsidRPr="0011233E">
        <w:rPr>
          <w:rFonts w:cs="Calibri"/>
          <w:b/>
        </w:rPr>
        <w:t>Stupanj zaduženosti</w:t>
      </w:r>
      <w:r w:rsidRPr="0011233E">
        <w:rPr>
          <w:rFonts w:cs="Calibri"/>
        </w:rPr>
        <w:t xml:space="preserve"> je odraz strukture pasive i pokazuje koliko je imovine financirano iz tuđeg kapitala (obveza). Ovaj pokazatelj se </w:t>
      </w:r>
      <w:r>
        <w:rPr>
          <w:rFonts w:cs="Calibri"/>
        </w:rPr>
        <w:t>u planiranim godinama kreće oko 53% (nešto se povećava u odnosu na procjenu 2018. godine zbog planiranog povećanja obveza prema dobitnicima).</w:t>
      </w:r>
      <w:r w:rsidR="00CD3AA4">
        <w:rPr>
          <w:rFonts w:cs="Calibri"/>
        </w:rPr>
        <w:t xml:space="preserve"> </w:t>
      </w:r>
      <w:r w:rsidR="00CD3AA4">
        <w:rPr>
          <w:rFonts w:cs="Calibri"/>
        </w:rPr>
        <w:tab/>
      </w:r>
      <w:r w:rsidR="00CD3AA4">
        <w:rPr>
          <w:rFonts w:cs="Calibri"/>
        </w:rPr>
        <w:tab/>
      </w:r>
      <w:r w:rsidR="00CD3AA4">
        <w:rPr>
          <w:rFonts w:cs="Calibri"/>
        </w:rPr>
        <w:tab/>
      </w:r>
      <w:r w:rsidRPr="0011233E">
        <w:rPr>
          <w:rFonts w:cs="Calibri"/>
        </w:rPr>
        <w:tab/>
      </w:r>
    </w:p>
    <w:p w:rsidR="009822CE" w:rsidRPr="0011233E" w:rsidRDefault="009822CE" w:rsidP="00CD3AA4">
      <w:pPr>
        <w:ind w:right="142"/>
        <w:jc w:val="both"/>
        <w:rPr>
          <w:rFonts w:cs="Calibri"/>
        </w:rPr>
      </w:pPr>
      <w:r w:rsidRPr="0011233E">
        <w:rPr>
          <w:rFonts w:cs="Calibri"/>
          <w:b/>
        </w:rPr>
        <w:t xml:space="preserve">Koeficijent aktivnosti ukupne imovine </w:t>
      </w:r>
      <w:r w:rsidRPr="0011233E">
        <w:rPr>
          <w:rFonts w:cs="Calibri"/>
        </w:rPr>
        <w:t xml:space="preserve">pokazuje učinkovitost upotrebe kapitala u ostvarivanju prihoda, odnosno koliko se puta imovina pretvori u prihode. Koeficijent obrtaja </w:t>
      </w:r>
      <w:r>
        <w:rPr>
          <w:rFonts w:cs="Calibri"/>
        </w:rPr>
        <w:t>se kreće u svim godinama nešto iznad 1,8 osim u planiranoj 2019. godini kada je 1,73 (zbog povećanih ulaganja, a samim tim i bržim rastom dugotrajne imovine od rasta prihoda).</w:t>
      </w:r>
    </w:p>
    <w:p w:rsidR="009822CE" w:rsidRPr="0011233E" w:rsidRDefault="009822CE" w:rsidP="009822CE">
      <w:pPr>
        <w:ind w:right="142"/>
        <w:jc w:val="both"/>
        <w:rPr>
          <w:rFonts w:cs="Calibri"/>
        </w:rPr>
      </w:pPr>
      <w:r w:rsidRPr="0011233E">
        <w:rPr>
          <w:rFonts w:cs="Calibri"/>
          <w:b/>
        </w:rPr>
        <w:t>Ekonomičnost</w:t>
      </w:r>
      <w:r w:rsidRPr="0011233E">
        <w:rPr>
          <w:rFonts w:cs="Calibri"/>
        </w:rPr>
        <w:t xml:space="preserve"> mjeri odnos prihoda i rashoda i pokazuje koliko se prih</w:t>
      </w:r>
      <w:r>
        <w:rPr>
          <w:rFonts w:cs="Calibri"/>
        </w:rPr>
        <w:t>oda ostvari po jedinici rashoda, te je ovaj pokazatelj stabilan u iduće 3 godine.</w:t>
      </w:r>
      <w:r>
        <w:rPr>
          <w:rFonts w:cs="Calibri"/>
        </w:rPr>
        <w:tab/>
        <w:t xml:space="preserve"> </w:t>
      </w:r>
    </w:p>
    <w:p w:rsidR="009822CE" w:rsidRPr="00CD3AA4" w:rsidRDefault="009822CE" w:rsidP="009822CE">
      <w:pPr>
        <w:ind w:right="142"/>
        <w:jc w:val="both"/>
        <w:rPr>
          <w:rFonts w:cs="Calibri"/>
        </w:rPr>
      </w:pPr>
      <w:r w:rsidRPr="0011233E">
        <w:rPr>
          <w:rFonts w:cs="Calibri"/>
          <w:b/>
        </w:rPr>
        <w:t xml:space="preserve">Profitabilnost </w:t>
      </w:r>
      <w:r w:rsidRPr="0011233E">
        <w:rPr>
          <w:rFonts w:cs="Calibri"/>
        </w:rPr>
        <w:t xml:space="preserve">se izračunava na temelju podataka iz Računa dobiti i gubitka. Pokazuje stupanj uspješnosti poslovanja i razinu ostvarene neto dobiti u odnosu na ostvareni prihod. </w:t>
      </w:r>
      <w:r>
        <w:rPr>
          <w:rFonts w:cs="Calibri"/>
        </w:rPr>
        <w:t xml:space="preserve">Planirana profitabilnost </w:t>
      </w:r>
      <w:r w:rsidRPr="0011233E">
        <w:rPr>
          <w:rFonts w:cs="Calibri"/>
        </w:rPr>
        <w:t>Hrvatsk</w:t>
      </w:r>
      <w:r>
        <w:rPr>
          <w:rFonts w:cs="Calibri"/>
        </w:rPr>
        <w:t>e</w:t>
      </w:r>
      <w:r w:rsidRPr="0011233E">
        <w:rPr>
          <w:rFonts w:cs="Calibri"/>
        </w:rPr>
        <w:t xml:space="preserve"> Lutrij</w:t>
      </w:r>
      <w:r>
        <w:rPr>
          <w:rFonts w:cs="Calibri"/>
        </w:rPr>
        <w:t>e</w:t>
      </w:r>
      <w:r w:rsidRPr="0011233E">
        <w:rPr>
          <w:rFonts w:cs="Calibri"/>
        </w:rPr>
        <w:t xml:space="preserve"> d.o.o. </w:t>
      </w:r>
      <w:r>
        <w:rPr>
          <w:rFonts w:cs="Calibri"/>
        </w:rPr>
        <w:t>u periodu do 2021. godine kreće se u rasponu od 8,3% do 9,1%.</w:t>
      </w:r>
    </w:p>
    <w:p w:rsidR="009822CE" w:rsidRDefault="009822CE" w:rsidP="009822CE">
      <w:pPr>
        <w:ind w:right="142"/>
        <w:jc w:val="both"/>
        <w:rPr>
          <w:rFonts w:cs="Calibri"/>
        </w:rPr>
      </w:pPr>
      <w:r w:rsidRPr="0011233E">
        <w:rPr>
          <w:rFonts w:cs="Calibri"/>
          <w:b/>
        </w:rPr>
        <w:t>Produktivnost</w:t>
      </w:r>
      <w:r w:rsidRPr="0011233E">
        <w:rPr>
          <w:rFonts w:cs="Calibri"/>
        </w:rPr>
        <w:t xml:space="preserve"> pokazuje ostvar</w:t>
      </w:r>
      <w:r>
        <w:rPr>
          <w:rFonts w:cs="Calibri"/>
        </w:rPr>
        <w:t>eni ukupan prihod po zaposlenom (po efektivnim satima rada).</w:t>
      </w:r>
    </w:p>
    <w:p w:rsidR="009822CE" w:rsidRDefault="009822CE" w:rsidP="009822CE">
      <w:pPr>
        <w:ind w:right="142"/>
        <w:jc w:val="both"/>
        <w:rPr>
          <w:rFonts w:cs="Calibri"/>
        </w:rPr>
      </w:pPr>
      <w:r>
        <w:rPr>
          <w:rFonts w:cs="Calibri"/>
        </w:rPr>
        <w:t>Ovaj pokazatelj raste iz godine u godinu, promatrajući planirane podatke 2019.-2021. godine; sa 440,5 na 488,2 tisuće kuna prihoda po zaposlenom.</w:t>
      </w:r>
    </w:p>
    <w:p w:rsidR="009822CE" w:rsidRPr="0011233E" w:rsidRDefault="009822CE" w:rsidP="009822CE">
      <w:pPr>
        <w:ind w:right="142"/>
        <w:jc w:val="both"/>
        <w:rPr>
          <w:rFonts w:cs="Calibri"/>
        </w:rPr>
      </w:pPr>
      <w:r>
        <w:rPr>
          <w:rFonts w:cs="Calibri"/>
        </w:rPr>
        <w:t>Iznimno, promatrajući plan 2019. u odnosu na procjenu 2018. produktivnost se smanjuje za 4,1%  (budući se p</w:t>
      </w:r>
      <w:r w:rsidRPr="00C154C8">
        <w:rPr>
          <w:rFonts w:cs="Calibri"/>
        </w:rPr>
        <w:t>lanira povećanje broja zaposlenih</w:t>
      </w:r>
      <w:r>
        <w:rPr>
          <w:rFonts w:cs="Calibri"/>
        </w:rPr>
        <w:t xml:space="preserve"> u</w:t>
      </w:r>
      <w:r w:rsidRPr="00C154C8">
        <w:rPr>
          <w:rFonts w:cs="Calibri"/>
        </w:rPr>
        <w:t xml:space="preserve"> </w:t>
      </w:r>
      <w:r>
        <w:rPr>
          <w:rFonts w:cs="Calibri"/>
        </w:rPr>
        <w:t xml:space="preserve">2019. godini </w:t>
      </w:r>
      <w:r w:rsidRPr="00C154C8">
        <w:rPr>
          <w:rFonts w:cs="Calibri"/>
        </w:rPr>
        <w:t>u okviru novih razvojnih programa predviđenih strateškim inicijativama sukladno Strategiji za naredno petogodišnje raz</w:t>
      </w:r>
      <w:r>
        <w:rPr>
          <w:rFonts w:cs="Calibri"/>
        </w:rPr>
        <w:t xml:space="preserve">doblje od 2019. do 2022. godine). </w:t>
      </w:r>
    </w:p>
    <w:p w:rsidR="009E04D3" w:rsidRPr="006109DB" w:rsidRDefault="009E04D3" w:rsidP="006109DB"/>
    <w:p w:rsidR="00711AE4" w:rsidRDefault="00711AE4" w:rsidP="002D4AE1">
      <w:pPr>
        <w:pStyle w:val="Heading1"/>
        <w:numPr>
          <w:ilvl w:val="1"/>
          <w:numId w:val="16"/>
        </w:numPr>
        <w:jc w:val="both"/>
        <w:rPr>
          <w:rFonts w:ascii="Calibri" w:hAnsi="Calibri" w:cs="Calibri"/>
          <w:sz w:val="28"/>
          <w:szCs w:val="28"/>
        </w:rPr>
      </w:pPr>
      <w:bookmarkStart w:id="37" w:name="_Toc433472826"/>
      <w:bookmarkStart w:id="38" w:name="_Toc433472901"/>
      <w:bookmarkStart w:id="39" w:name="_Toc469921252"/>
      <w:bookmarkStart w:id="40" w:name="_Toc501009107"/>
      <w:bookmarkStart w:id="41" w:name="_Toc533660875"/>
      <w:r w:rsidRPr="000C281D">
        <w:rPr>
          <w:rFonts w:ascii="Calibri" w:hAnsi="Calibri" w:cs="Calibri"/>
          <w:sz w:val="28"/>
          <w:szCs w:val="28"/>
        </w:rPr>
        <w:t>Planirana sredstva u korist državnog proračuna</w:t>
      </w:r>
      <w:bookmarkEnd w:id="37"/>
      <w:bookmarkEnd w:id="38"/>
      <w:bookmarkEnd w:id="39"/>
      <w:bookmarkEnd w:id="40"/>
      <w:bookmarkEnd w:id="41"/>
      <w:r w:rsidRPr="000C281D">
        <w:rPr>
          <w:rFonts w:ascii="Calibri" w:hAnsi="Calibri" w:cs="Calibri"/>
          <w:sz w:val="28"/>
          <w:szCs w:val="28"/>
        </w:rPr>
        <w:t xml:space="preserve">  </w:t>
      </w:r>
    </w:p>
    <w:p w:rsidR="00711AE4" w:rsidRDefault="00711AE4" w:rsidP="00711AE4">
      <w:pPr>
        <w:pStyle w:val="ListParagraph"/>
        <w:ind w:left="1003"/>
      </w:pPr>
    </w:p>
    <w:p w:rsidR="00C86F7B" w:rsidRDefault="00711AE4" w:rsidP="00C86F7B">
      <w:pPr>
        <w:jc w:val="both"/>
      </w:pPr>
      <w:r>
        <w:t>Hrvatska Lutrija d.o.o.</w:t>
      </w:r>
      <w:r w:rsidRPr="00CE1088">
        <w:t xml:space="preserve">  obavljanjem svoje djelatnosti ostvaruje značajna sredstava koja uplaćuje u Državni proračun. Stoga svoje aktivnosti usmjerava ostvarenju što većeg prometa i prihoda. Uz to, kontinuiranim aktivnostima na racionalizaciji poslovanja doprinosi mjerama štednje, s ciljem ostvarenja značajnijih sredsta</w:t>
      </w:r>
      <w:r w:rsidR="00C86F7B">
        <w:t xml:space="preserve">va u korist Državnog proračuna. </w:t>
      </w:r>
    </w:p>
    <w:p w:rsidR="00C86F7B" w:rsidRPr="00C86F7B" w:rsidRDefault="00711AE4" w:rsidP="00C86F7B">
      <w:pPr>
        <w:jc w:val="both"/>
      </w:pPr>
      <w:r w:rsidRPr="00CE1088">
        <w:t xml:space="preserve">U Tablici </w:t>
      </w:r>
      <w:r w:rsidR="006109DB">
        <w:t>10</w:t>
      </w:r>
      <w:r w:rsidRPr="00CE1088">
        <w:t xml:space="preserve">. prikazan je pregled po vrstama obveza </w:t>
      </w:r>
      <w:r w:rsidR="00B500BA">
        <w:t>Hrvatske Lutrije</w:t>
      </w:r>
      <w:r w:rsidRPr="00CE1088">
        <w:t xml:space="preserve"> prema Državnom proračunu.</w:t>
      </w:r>
    </w:p>
    <w:p w:rsidR="00C8274D" w:rsidRPr="00C8274D" w:rsidRDefault="006109DB" w:rsidP="00C8274D">
      <w:pPr>
        <w:rPr>
          <w:b/>
          <w:caps/>
        </w:rPr>
      </w:pPr>
      <w:r>
        <w:rPr>
          <w:b/>
        </w:rPr>
        <w:t>Tablica 10</w:t>
      </w:r>
      <w:r w:rsidR="00C8274D" w:rsidRPr="00CE1088">
        <w:rPr>
          <w:b/>
        </w:rPr>
        <w:t xml:space="preserve">.: </w:t>
      </w:r>
      <w:r w:rsidR="00C8274D" w:rsidRPr="00CE1088">
        <w:rPr>
          <w:b/>
          <w:caps/>
        </w:rPr>
        <w:t>Plan po vrstama SREDSTAVA u KORIST  DržavnOG proračunA</w:t>
      </w:r>
    </w:p>
    <w:p w:rsidR="0075624F" w:rsidRDefault="00581D8A" w:rsidP="00C86F7B">
      <w:pPr>
        <w:jc w:val="both"/>
      </w:pPr>
      <w:r w:rsidRPr="00581D8A">
        <w:rPr>
          <w:noProof/>
        </w:rPr>
        <w:lastRenderedPageBreak/>
        <w:drawing>
          <wp:inline distT="0" distB="0" distL="0" distR="0">
            <wp:extent cx="6120765" cy="42574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765" cy="4257410"/>
                    </a:xfrm>
                    <a:prstGeom prst="rect">
                      <a:avLst/>
                    </a:prstGeom>
                    <a:noFill/>
                    <a:ln>
                      <a:noFill/>
                    </a:ln>
                  </pic:spPr>
                </pic:pic>
              </a:graphicData>
            </a:graphic>
          </wp:inline>
        </w:drawing>
      </w:r>
    </w:p>
    <w:p w:rsidR="00C86F7B" w:rsidRDefault="00C86F7B" w:rsidP="00C86F7B">
      <w:pPr>
        <w:jc w:val="both"/>
      </w:pPr>
    </w:p>
    <w:p w:rsidR="00711AE4" w:rsidRPr="00711AE4" w:rsidRDefault="008F59CB" w:rsidP="00C86F7B">
      <w:pPr>
        <w:jc w:val="center"/>
      </w:pPr>
      <w:r>
        <w:rPr>
          <w:noProof/>
        </w:rPr>
        <w:drawing>
          <wp:inline distT="0" distB="0" distL="0" distR="0" wp14:anchorId="629781FC">
            <wp:extent cx="4863600" cy="210960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63600" cy="2109600"/>
                    </a:xfrm>
                    <a:prstGeom prst="rect">
                      <a:avLst/>
                    </a:prstGeom>
                    <a:noFill/>
                  </pic:spPr>
                </pic:pic>
              </a:graphicData>
            </a:graphic>
          </wp:inline>
        </w:drawing>
      </w:r>
    </w:p>
    <w:p w:rsidR="00AF5C5D" w:rsidRPr="00271964" w:rsidRDefault="00016A4D" w:rsidP="00AF5C5D">
      <w:pPr>
        <w:pStyle w:val="Heading1"/>
        <w:ind w:left="1003"/>
        <w:jc w:val="both"/>
        <w:rPr>
          <w:sz w:val="28"/>
          <w:szCs w:val="28"/>
        </w:rPr>
      </w:pPr>
      <w:bookmarkStart w:id="42" w:name="_Toc469921253"/>
      <w:bookmarkStart w:id="43" w:name="_Toc501009108"/>
      <w:bookmarkStart w:id="44" w:name="_Toc533660876"/>
      <w:r>
        <w:rPr>
          <w:rFonts w:ascii="Calibri" w:hAnsi="Calibri" w:cs="Calibri"/>
          <w:sz w:val="28"/>
          <w:szCs w:val="28"/>
        </w:rPr>
        <w:t>6</w:t>
      </w:r>
      <w:r w:rsidR="00AF5C5D" w:rsidRPr="0035555E">
        <w:rPr>
          <w:rFonts w:ascii="Calibri" w:hAnsi="Calibri" w:cs="Calibri"/>
          <w:sz w:val="28"/>
          <w:szCs w:val="28"/>
        </w:rPr>
        <w:t>.</w:t>
      </w:r>
      <w:r w:rsidR="00EE0BC9">
        <w:rPr>
          <w:rFonts w:ascii="Calibri" w:hAnsi="Calibri" w:cs="Calibri"/>
          <w:sz w:val="28"/>
          <w:szCs w:val="28"/>
        </w:rPr>
        <w:t>5</w:t>
      </w:r>
      <w:r w:rsidR="00AF5C5D" w:rsidRPr="0035555E">
        <w:rPr>
          <w:rFonts w:ascii="Calibri" w:hAnsi="Calibri" w:cs="Calibri"/>
          <w:sz w:val="28"/>
          <w:szCs w:val="28"/>
        </w:rPr>
        <w:t xml:space="preserve">.1. </w:t>
      </w:r>
      <w:r w:rsidR="00AF5C5D" w:rsidRPr="00271964">
        <w:rPr>
          <w:rFonts w:ascii="Calibri" w:hAnsi="Calibri" w:cs="Calibri"/>
          <w:sz w:val="28"/>
          <w:szCs w:val="28"/>
        </w:rPr>
        <w:t>Planirana sredstva za financ</w:t>
      </w:r>
      <w:r w:rsidR="00AF5C5D">
        <w:rPr>
          <w:rFonts w:ascii="Calibri" w:hAnsi="Calibri" w:cs="Calibri"/>
          <w:sz w:val="28"/>
          <w:szCs w:val="28"/>
        </w:rPr>
        <w:t>iranje</w:t>
      </w:r>
      <w:r w:rsidR="00AF5C5D" w:rsidRPr="00271964">
        <w:rPr>
          <w:rFonts w:ascii="Calibri" w:hAnsi="Calibri" w:cs="Calibri"/>
          <w:sz w:val="28"/>
          <w:szCs w:val="28"/>
        </w:rPr>
        <w:t xml:space="preserve"> organizacija sukladno čl. 8 Zakona  o igrama na sreću</w:t>
      </w:r>
      <w:bookmarkEnd w:id="42"/>
      <w:bookmarkEnd w:id="43"/>
      <w:bookmarkEnd w:id="44"/>
    </w:p>
    <w:p w:rsidR="00AF5C5D" w:rsidRPr="00F5131D" w:rsidRDefault="00AF5C5D" w:rsidP="00AF5C5D">
      <w:pPr>
        <w:rPr>
          <w:lang w:eastAsia="x-none"/>
        </w:rPr>
      </w:pPr>
    </w:p>
    <w:p w:rsidR="00AF5C5D" w:rsidRPr="00CE1088" w:rsidRDefault="00AF5C5D" w:rsidP="00AF5C5D">
      <w:pPr>
        <w:jc w:val="both"/>
      </w:pPr>
      <w:r w:rsidRPr="00CE1088">
        <w:t>U članku 8. stavak 2. Zakona o igrama na sreću (NN br. 87/09., 35/13., 158/13., 41/14.</w:t>
      </w:r>
      <w:r w:rsidRPr="00CE1088">
        <w:rPr>
          <w:b/>
        </w:rPr>
        <w:t>)</w:t>
      </w:r>
      <w:r w:rsidRPr="00CE1088">
        <w:t xml:space="preserve"> propisano je izdvajanje dijela prihoda od igara na sreću za financiranje programa organizacija koje promiču razvoj sporta, pridonose borbi protiv droga i svih drugih oblika ovisnosti, koje se bave socijalnom i humanitarnom djelatnošću, problemima i zadovoljavanjem potreba osoba s invaliditetom tehničkom kulturom, kulturom, izvaninstitucionalnom naobrazbom i odgojem djece i mladih te pridonose razvoju civilnog društva.</w:t>
      </w:r>
    </w:p>
    <w:p w:rsidR="00AF5C5D" w:rsidRPr="00C86F7B" w:rsidRDefault="00AF5C5D" w:rsidP="00C86F7B">
      <w:pPr>
        <w:jc w:val="both"/>
      </w:pPr>
      <w:r w:rsidRPr="00CE1088">
        <w:lastRenderedPageBreak/>
        <w:t xml:space="preserve">Sredstva </w:t>
      </w:r>
      <w:r>
        <w:t>H</w:t>
      </w:r>
      <w:r w:rsidR="00B500BA">
        <w:t xml:space="preserve">rvatske </w:t>
      </w:r>
      <w:r>
        <w:t>L</w:t>
      </w:r>
      <w:r w:rsidR="00B500BA">
        <w:t>utrije</w:t>
      </w:r>
      <w:r w:rsidRPr="00CE1088">
        <w:t xml:space="preserve"> koja su prihod Državnog proračuna i koja se sukladno članku 8. Zakona o igrama na sreću dijelom izdvajaju za financiranje programa navedenih organizacija, planirana su po vrstama kako je navedeno u Tablici </w:t>
      </w:r>
      <w:r w:rsidR="00484B25">
        <w:t>11</w:t>
      </w:r>
      <w:r w:rsidRPr="00CE1088">
        <w:t>.</w:t>
      </w:r>
    </w:p>
    <w:p w:rsidR="00AF5C5D" w:rsidRPr="00CE1088" w:rsidRDefault="00484B25" w:rsidP="00AF5C5D">
      <w:pPr>
        <w:rPr>
          <w:b/>
          <w:caps/>
        </w:rPr>
      </w:pPr>
      <w:r>
        <w:rPr>
          <w:b/>
        </w:rPr>
        <w:t>Tablica 11</w:t>
      </w:r>
      <w:r w:rsidR="00AF5C5D" w:rsidRPr="00CE1088">
        <w:rPr>
          <w:b/>
        </w:rPr>
        <w:t xml:space="preserve">.: </w:t>
      </w:r>
      <w:r w:rsidR="00AF5C5D" w:rsidRPr="00CE1088">
        <w:rPr>
          <w:b/>
          <w:caps/>
        </w:rPr>
        <w:t>Plan IZDVAJANJA SREDSTAVA ZA FINANCIRANJE ORGANIZACIJA PO ČLANKU 8. ZAKONA O IGRAMA NA SREĆU</w:t>
      </w:r>
    </w:p>
    <w:p w:rsidR="00711AE4" w:rsidRDefault="00F85E21" w:rsidP="00711AE4">
      <w:r w:rsidRPr="00F85E21">
        <w:rPr>
          <w:noProof/>
        </w:rPr>
        <w:drawing>
          <wp:inline distT="0" distB="0" distL="0" distR="0">
            <wp:extent cx="6120765" cy="2470313"/>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765" cy="2470313"/>
                    </a:xfrm>
                    <a:prstGeom prst="rect">
                      <a:avLst/>
                    </a:prstGeom>
                    <a:noFill/>
                    <a:ln>
                      <a:noFill/>
                    </a:ln>
                  </pic:spPr>
                </pic:pic>
              </a:graphicData>
            </a:graphic>
          </wp:inline>
        </w:drawing>
      </w:r>
    </w:p>
    <w:p w:rsidR="0075624F" w:rsidRDefault="0075624F" w:rsidP="008F59CB">
      <w:pPr>
        <w:jc w:val="center"/>
        <w:rPr>
          <w:noProof/>
        </w:rPr>
      </w:pPr>
    </w:p>
    <w:p w:rsidR="008F59CB" w:rsidRPr="00711AE4" w:rsidRDefault="008F59CB" w:rsidP="008F59CB">
      <w:pPr>
        <w:jc w:val="center"/>
      </w:pPr>
      <w:r>
        <w:rPr>
          <w:noProof/>
        </w:rPr>
        <w:drawing>
          <wp:inline distT="0" distB="0" distL="0" distR="0" wp14:anchorId="0F6CCEF2">
            <wp:extent cx="4662000" cy="2239200"/>
            <wp:effectExtent l="0" t="0" r="5715"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62000" cy="2239200"/>
                    </a:xfrm>
                    <a:prstGeom prst="rect">
                      <a:avLst/>
                    </a:prstGeom>
                    <a:noFill/>
                  </pic:spPr>
                </pic:pic>
              </a:graphicData>
            </a:graphic>
          </wp:inline>
        </w:drawing>
      </w:r>
    </w:p>
    <w:p w:rsidR="00B36742" w:rsidRDefault="00B36742" w:rsidP="00B36742">
      <w:pPr>
        <w:jc w:val="both"/>
      </w:pPr>
    </w:p>
    <w:p w:rsidR="00B36742" w:rsidRPr="00CE1088" w:rsidRDefault="00B36742" w:rsidP="00B36742">
      <w:pPr>
        <w:jc w:val="both"/>
      </w:pPr>
      <w:r w:rsidRPr="00CE1088">
        <w:t>Uredbom o kriterijima za utvrđivanje korisnika i načinu raspodjele dijela prihoda od igara na sreću Vlada Republike Hrvatske odredit će kriterije i način raspodjele dijela prihoda od igara na sreću za financiranje programa organizacija koje djeluju u područjima propisanima člankom 8. Zakona o igrama na sreću.</w:t>
      </w:r>
    </w:p>
    <w:p w:rsidR="007954F5" w:rsidRDefault="007954F5" w:rsidP="007954F5">
      <w:pPr>
        <w:rPr>
          <w:rFonts w:cs="Calibri"/>
        </w:rPr>
      </w:pPr>
    </w:p>
    <w:p w:rsidR="007954F5" w:rsidRDefault="007954F5" w:rsidP="007954F5">
      <w:pPr>
        <w:rPr>
          <w:rFonts w:cs="Calibri"/>
        </w:rPr>
      </w:pPr>
    </w:p>
    <w:p w:rsidR="007954F5" w:rsidRDefault="007954F5" w:rsidP="007954F5">
      <w:pPr>
        <w:rPr>
          <w:rFonts w:cs="Calibri"/>
        </w:rPr>
      </w:pPr>
      <w:r>
        <w:rPr>
          <w:rFonts w:cs="Calibri"/>
        </w:rPr>
        <w:t xml:space="preserve">U Zagrebu, </w:t>
      </w:r>
      <w:r w:rsidR="00A96E5A">
        <w:rPr>
          <w:rFonts w:cs="Calibri"/>
        </w:rPr>
        <w:t>prosinac</w:t>
      </w:r>
      <w:r>
        <w:rPr>
          <w:rFonts w:cs="Calibri"/>
        </w:rPr>
        <w:t xml:space="preserve"> 2018. godine</w:t>
      </w:r>
    </w:p>
    <w:p w:rsidR="007954F5" w:rsidRDefault="007954F5" w:rsidP="007954F5">
      <w:pPr>
        <w:tabs>
          <w:tab w:val="left" w:pos="142"/>
        </w:tabs>
      </w:pPr>
      <w:r>
        <w:t xml:space="preserve"> </w:t>
      </w:r>
    </w:p>
    <w:p w:rsidR="007954F5" w:rsidRDefault="007954F5" w:rsidP="007954F5">
      <w:pPr>
        <w:tabs>
          <w:tab w:val="left" w:pos="142"/>
        </w:tabs>
      </w:pPr>
    </w:p>
    <w:p w:rsidR="007954F5" w:rsidRDefault="007954F5" w:rsidP="007954F5">
      <w:pPr>
        <w:tabs>
          <w:tab w:val="left" w:pos="142"/>
        </w:tabs>
        <w:contextualSpacing/>
      </w:pPr>
      <w:r>
        <w:lastRenderedPageBreak/>
        <w:t>Iva Meštrović</w:t>
      </w:r>
    </w:p>
    <w:p w:rsidR="007954F5" w:rsidRPr="007A598F" w:rsidRDefault="007954F5" w:rsidP="007954F5">
      <w:pPr>
        <w:tabs>
          <w:tab w:val="left" w:pos="142"/>
        </w:tabs>
        <w:contextualSpacing/>
      </w:pPr>
      <w:r>
        <w:t>Viša specijalistica za kontroling</w:t>
      </w:r>
    </w:p>
    <w:p w:rsidR="007954F5" w:rsidRDefault="007954F5" w:rsidP="007954F5">
      <w:pPr>
        <w:tabs>
          <w:tab w:val="left" w:pos="142"/>
        </w:tabs>
      </w:pPr>
    </w:p>
    <w:p w:rsidR="007954F5" w:rsidRDefault="007954F5" w:rsidP="007954F5">
      <w:pPr>
        <w:tabs>
          <w:tab w:val="left" w:pos="142"/>
        </w:tabs>
      </w:pPr>
    </w:p>
    <w:p w:rsidR="007954F5" w:rsidRDefault="007954F5" w:rsidP="007954F5">
      <w:pPr>
        <w:tabs>
          <w:tab w:val="left" w:pos="142"/>
        </w:tabs>
        <w:contextualSpacing/>
      </w:pPr>
      <w:r>
        <w:t>Martina Černi</w:t>
      </w:r>
    </w:p>
    <w:p w:rsidR="007954F5" w:rsidRDefault="007954F5" w:rsidP="007954F5">
      <w:pPr>
        <w:tabs>
          <w:tab w:val="left" w:pos="142"/>
        </w:tabs>
        <w:contextualSpacing/>
      </w:pPr>
      <w:r>
        <w:t>Voditeljica Službe kontrolinga</w:t>
      </w:r>
    </w:p>
    <w:p w:rsidR="007954F5" w:rsidRDefault="007954F5" w:rsidP="007954F5">
      <w:pPr>
        <w:tabs>
          <w:tab w:val="left" w:pos="142"/>
        </w:tabs>
      </w:pPr>
    </w:p>
    <w:p w:rsidR="007954F5" w:rsidRDefault="007954F5" w:rsidP="007954F5">
      <w:pPr>
        <w:tabs>
          <w:tab w:val="left" w:pos="142"/>
        </w:tabs>
        <w:ind w:left="120"/>
      </w:pPr>
      <w:r w:rsidRPr="007A598F">
        <w:tab/>
      </w:r>
    </w:p>
    <w:p w:rsidR="007954F5" w:rsidRDefault="007954F5" w:rsidP="007954F5">
      <w:pPr>
        <w:tabs>
          <w:tab w:val="left" w:pos="142"/>
        </w:tabs>
        <w:ind w:left="120"/>
      </w:pPr>
      <w:r w:rsidRPr="007A598F">
        <w:tab/>
      </w:r>
      <w:r w:rsidRPr="007A598F">
        <w:tab/>
      </w:r>
    </w:p>
    <w:p w:rsidR="007954F5" w:rsidRDefault="007954F5" w:rsidP="007954F5">
      <w:pPr>
        <w:tabs>
          <w:tab w:val="left" w:pos="142"/>
        </w:tabs>
        <w:ind w:left="120"/>
      </w:pPr>
      <w:r w:rsidRPr="007A598F">
        <w:tab/>
      </w:r>
      <w:r w:rsidRPr="007A598F">
        <w:tab/>
      </w:r>
      <w:r w:rsidRPr="007A598F">
        <w:tab/>
      </w:r>
      <w:r w:rsidRPr="007A598F">
        <w:tab/>
      </w:r>
      <w:r w:rsidRPr="007A598F">
        <w:tab/>
      </w:r>
      <w:r w:rsidRPr="007A598F">
        <w:tab/>
      </w:r>
    </w:p>
    <w:p w:rsidR="007954F5" w:rsidRDefault="007954F5" w:rsidP="007954F5">
      <w:pPr>
        <w:tabs>
          <w:tab w:val="left" w:pos="142"/>
        </w:tabs>
        <w:ind w:left="120"/>
      </w:pPr>
    </w:p>
    <w:p w:rsidR="007954F5" w:rsidRPr="007A598F" w:rsidRDefault="007954F5" w:rsidP="007954F5">
      <w:pPr>
        <w:tabs>
          <w:tab w:val="left" w:pos="142"/>
        </w:tabs>
        <w:ind w:left="120"/>
      </w:pPr>
      <w:r>
        <w:tab/>
      </w:r>
      <w:r>
        <w:tab/>
      </w:r>
      <w:r>
        <w:tab/>
      </w:r>
      <w:r>
        <w:tab/>
      </w:r>
      <w:r>
        <w:tab/>
      </w:r>
      <w:r>
        <w:tab/>
      </w:r>
      <w:r>
        <w:tab/>
      </w:r>
      <w:r>
        <w:tab/>
      </w:r>
      <w:r>
        <w:tab/>
      </w:r>
      <w:r w:rsidRPr="007A598F">
        <w:t>Hrvatska Lutrija d.o.o.</w:t>
      </w:r>
    </w:p>
    <w:p w:rsidR="007954F5" w:rsidRDefault="007954F5" w:rsidP="007954F5">
      <w:pPr>
        <w:tabs>
          <w:tab w:val="left" w:pos="142"/>
        </w:tabs>
        <w:ind w:left="120"/>
      </w:pPr>
      <w:r w:rsidRPr="007A598F">
        <w:tab/>
      </w:r>
      <w:r w:rsidRPr="007A598F">
        <w:tab/>
      </w:r>
      <w:r w:rsidRPr="007A598F">
        <w:tab/>
      </w:r>
      <w:r w:rsidRPr="007A598F">
        <w:tab/>
      </w:r>
      <w:r w:rsidRPr="007A598F">
        <w:tab/>
      </w:r>
      <w:r w:rsidRPr="007A598F">
        <w:tab/>
      </w:r>
      <w:r w:rsidRPr="007A598F">
        <w:tab/>
      </w:r>
      <w:r w:rsidRPr="007A598F">
        <w:tab/>
      </w:r>
      <w:r w:rsidRPr="007A598F">
        <w:tab/>
      </w:r>
    </w:p>
    <w:p w:rsidR="007954F5" w:rsidRPr="007A598F" w:rsidRDefault="007954F5" w:rsidP="007954F5">
      <w:pPr>
        <w:tabs>
          <w:tab w:val="left" w:pos="142"/>
        </w:tabs>
        <w:ind w:left="120"/>
      </w:pPr>
      <w:r w:rsidRPr="007A598F">
        <w:tab/>
      </w:r>
    </w:p>
    <w:p w:rsidR="007954F5" w:rsidRDefault="007954F5" w:rsidP="007954F5">
      <w:pPr>
        <w:tabs>
          <w:tab w:val="left" w:pos="142"/>
        </w:tabs>
        <w:ind w:left="119"/>
        <w:contextualSpacing/>
      </w:pPr>
      <w:r w:rsidRPr="007A598F">
        <w:tab/>
      </w:r>
      <w:r w:rsidRPr="007A598F">
        <w:tab/>
      </w:r>
      <w:r w:rsidRPr="007A598F">
        <w:tab/>
      </w:r>
      <w:r w:rsidRPr="007A598F">
        <w:tab/>
      </w:r>
      <w:r w:rsidRPr="007A598F">
        <w:tab/>
      </w:r>
      <w:r w:rsidRPr="007A598F">
        <w:tab/>
      </w:r>
      <w:r w:rsidRPr="007A598F">
        <w:tab/>
      </w:r>
      <w:r w:rsidRPr="007A598F">
        <w:tab/>
      </w:r>
      <w:r w:rsidRPr="007A598F">
        <w:tab/>
        <w:t>Mario Musa, MBA</w:t>
      </w:r>
    </w:p>
    <w:p w:rsidR="007954F5" w:rsidRPr="007A598F" w:rsidRDefault="007954F5" w:rsidP="007954F5">
      <w:pPr>
        <w:tabs>
          <w:tab w:val="left" w:pos="142"/>
        </w:tabs>
        <w:ind w:left="119"/>
        <w:contextualSpacing/>
      </w:pPr>
      <w:r>
        <w:tab/>
      </w:r>
      <w:r>
        <w:tab/>
      </w:r>
      <w:r>
        <w:tab/>
      </w:r>
      <w:r>
        <w:tab/>
      </w:r>
      <w:r>
        <w:tab/>
      </w:r>
      <w:r>
        <w:tab/>
      </w:r>
      <w:r>
        <w:tab/>
      </w:r>
      <w:r>
        <w:tab/>
      </w:r>
      <w:r>
        <w:tab/>
      </w:r>
      <w:r w:rsidRPr="007A598F">
        <w:t>predsjednik Uprave</w:t>
      </w:r>
    </w:p>
    <w:p w:rsidR="007954F5" w:rsidRPr="007A598F" w:rsidRDefault="007954F5" w:rsidP="007954F5">
      <w:pPr>
        <w:tabs>
          <w:tab w:val="left" w:pos="142"/>
        </w:tabs>
        <w:ind w:left="120"/>
      </w:pPr>
    </w:p>
    <w:p w:rsidR="007954F5" w:rsidRDefault="007954F5" w:rsidP="007954F5">
      <w:pPr>
        <w:tabs>
          <w:tab w:val="left" w:pos="142"/>
        </w:tabs>
        <w:ind w:left="120"/>
      </w:pPr>
    </w:p>
    <w:p w:rsidR="00711AE4" w:rsidRDefault="00711AE4" w:rsidP="009A368B">
      <w:pPr>
        <w:tabs>
          <w:tab w:val="left" w:pos="142"/>
        </w:tabs>
        <w:ind w:left="142"/>
        <w:jc w:val="both"/>
      </w:pPr>
    </w:p>
    <w:sectPr w:rsidR="00711AE4" w:rsidSect="00715A49">
      <w:footerReference w:type="even" r:id="rId38"/>
      <w:footerReference w:type="default" r:id="rId39"/>
      <w:pgSz w:w="11906" w:h="16838" w:code="9"/>
      <w:pgMar w:top="1440" w:right="849"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484" w:rsidRDefault="005E7484">
      <w:pPr>
        <w:spacing w:after="0" w:line="240" w:lineRule="auto"/>
      </w:pPr>
      <w:r>
        <w:separator/>
      </w:r>
    </w:p>
  </w:endnote>
  <w:endnote w:type="continuationSeparator" w:id="0">
    <w:p w:rsidR="005E7484" w:rsidRDefault="005E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E49" w:rsidRDefault="00ED3E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3E49" w:rsidRDefault="00ED3E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932776"/>
      <w:docPartObj>
        <w:docPartGallery w:val="Page Numbers (Bottom of Page)"/>
        <w:docPartUnique/>
      </w:docPartObj>
    </w:sdtPr>
    <w:sdtEndPr/>
    <w:sdtContent>
      <w:p w:rsidR="00ED3E49" w:rsidRDefault="00ED3E49" w:rsidP="00111EAE">
        <w:pPr>
          <w:pStyle w:val="Footer"/>
          <w:jc w:val="center"/>
        </w:pPr>
        <w:r>
          <w:fldChar w:fldCharType="begin"/>
        </w:r>
        <w:r>
          <w:instrText>PAGE   \* MERGEFORMAT</w:instrText>
        </w:r>
        <w:r>
          <w:fldChar w:fldCharType="separate"/>
        </w:r>
        <w:r w:rsidR="00537D8C">
          <w:rPr>
            <w:noProof/>
          </w:rPr>
          <w:t>- 6 -</w:t>
        </w:r>
        <w:r>
          <w:fldChar w:fldCharType="end"/>
        </w:r>
      </w:p>
    </w:sdtContent>
  </w:sdt>
  <w:p w:rsidR="00ED3E49" w:rsidRDefault="00ED3E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484" w:rsidRDefault="005E7484">
      <w:pPr>
        <w:spacing w:after="0" w:line="240" w:lineRule="auto"/>
      </w:pPr>
      <w:r>
        <w:separator/>
      </w:r>
    </w:p>
  </w:footnote>
  <w:footnote w:type="continuationSeparator" w:id="0">
    <w:p w:rsidR="005E7484" w:rsidRDefault="005E7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1F9"/>
    <w:multiLevelType w:val="hybridMultilevel"/>
    <w:tmpl w:val="678029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F054C6"/>
    <w:multiLevelType w:val="multilevel"/>
    <w:tmpl w:val="F7D0A1E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33A6535"/>
    <w:multiLevelType w:val="hybridMultilevel"/>
    <w:tmpl w:val="A0ECF9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717D8C"/>
    <w:multiLevelType w:val="hybridMultilevel"/>
    <w:tmpl w:val="647413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882F12"/>
    <w:multiLevelType w:val="hybridMultilevel"/>
    <w:tmpl w:val="E0D033A0"/>
    <w:lvl w:ilvl="0" w:tplc="E6B8D970">
      <w:start w:val="1"/>
      <w:numFmt w:val="decimal"/>
      <w:lvlText w:val="%1."/>
      <w:lvlJc w:val="left"/>
      <w:pPr>
        <w:tabs>
          <w:tab w:val="num" w:pos="720"/>
        </w:tabs>
        <w:ind w:left="720" w:hanging="360"/>
      </w:pPr>
    </w:lvl>
    <w:lvl w:ilvl="1" w:tplc="2850F782">
      <w:start w:val="1"/>
      <w:numFmt w:val="lowerLetter"/>
      <w:lvlText w:val="%2."/>
      <w:lvlJc w:val="left"/>
      <w:pPr>
        <w:tabs>
          <w:tab w:val="num" w:pos="1440"/>
        </w:tabs>
        <w:ind w:left="1440" w:hanging="360"/>
      </w:pPr>
    </w:lvl>
    <w:lvl w:ilvl="2" w:tplc="C9541930">
      <w:start w:val="1"/>
      <w:numFmt w:val="decimal"/>
      <w:lvlText w:val="%3."/>
      <w:lvlJc w:val="left"/>
      <w:pPr>
        <w:tabs>
          <w:tab w:val="num" w:pos="2160"/>
        </w:tabs>
        <w:ind w:left="2160" w:hanging="360"/>
      </w:pPr>
    </w:lvl>
    <w:lvl w:ilvl="3" w:tplc="99B4F390" w:tentative="1">
      <w:start w:val="1"/>
      <w:numFmt w:val="decimal"/>
      <w:lvlText w:val="%4."/>
      <w:lvlJc w:val="left"/>
      <w:pPr>
        <w:tabs>
          <w:tab w:val="num" w:pos="2880"/>
        </w:tabs>
        <w:ind w:left="2880" w:hanging="360"/>
      </w:pPr>
    </w:lvl>
    <w:lvl w:ilvl="4" w:tplc="876E1064" w:tentative="1">
      <w:start w:val="1"/>
      <w:numFmt w:val="decimal"/>
      <w:lvlText w:val="%5."/>
      <w:lvlJc w:val="left"/>
      <w:pPr>
        <w:tabs>
          <w:tab w:val="num" w:pos="3600"/>
        </w:tabs>
        <w:ind w:left="3600" w:hanging="360"/>
      </w:pPr>
    </w:lvl>
    <w:lvl w:ilvl="5" w:tplc="3A485690" w:tentative="1">
      <w:start w:val="1"/>
      <w:numFmt w:val="decimal"/>
      <w:lvlText w:val="%6."/>
      <w:lvlJc w:val="left"/>
      <w:pPr>
        <w:tabs>
          <w:tab w:val="num" w:pos="4320"/>
        </w:tabs>
        <w:ind w:left="4320" w:hanging="360"/>
      </w:pPr>
    </w:lvl>
    <w:lvl w:ilvl="6" w:tplc="336E872A" w:tentative="1">
      <w:start w:val="1"/>
      <w:numFmt w:val="decimal"/>
      <w:lvlText w:val="%7."/>
      <w:lvlJc w:val="left"/>
      <w:pPr>
        <w:tabs>
          <w:tab w:val="num" w:pos="5040"/>
        </w:tabs>
        <w:ind w:left="5040" w:hanging="360"/>
      </w:pPr>
    </w:lvl>
    <w:lvl w:ilvl="7" w:tplc="D172C154" w:tentative="1">
      <w:start w:val="1"/>
      <w:numFmt w:val="decimal"/>
      <w:lvlText w:val="%8."/>
      <w:lvlJc w:val="left"/>
      <w:pPr>
        <w:tabs>
          <w:tab w:val="num" w:pos="5760"/>
        </w:tabs>
        <w:ind w:left="5760" w:hanging="360"/>
      </w:pPr>
    </w:lvl>
    <w:lvl w:ilvl="8" w:tplc="6AC47D26" w:tentative="1">
      <w:start w:val="1"/>
      <w:numFmt w:val="decimal"/>
      <w:lvlText w:val="%9."/>
      <w:lvlJc w:val="left"/>
      <w:pPr>
        <w:tabs>
          <w:tab w:val="num" w:pos="6480"/>
        </w:tabs>
        <w:ind w:left="6480" w:hanging="360"/>
      </w:pPr>
    </w:lvl>
  </w:abstractNum>
  <w:abstractNum w:abstractNumId="5" w15:restartNumberingAfterBreak="0">
    <w:nsid w:val="0F101685"/>
    <w:multiLevelType w:val="hybridMultilevel"/>
    <w:tmpl w:val="61A0ADDE"/>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C606E7"/>
    <w:multiLevelType w:val="multilevel"/>
    <w:tmpl w:val="8C8EA436"/>
    <w:lvl w:ilvl="0">
      <w:start w:val="2"/>
      <w:numFmt w:val="upperRoman"/>
      <w:lvlText w:val="%1."/>
      <w:lvlJc w:val="left"/>
      <w:pPr>
        <w:ind w:left="1004"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BA533E7"/>
    <w:multiLevelType w:val="hybridMultilevel"/>
    <w:tmpl w:val="5EC8782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E1B15F2"/>
    <w:multiLevelType w:val="hybridMultilevel"/>
    <w:tmpl w:val="3982AB8E"/>
    <w:lvl w:ilvl="0" w:tplc="03E0F16C">
      <w:start w:val="1"/>
      <w:numFmt w:val="bullet"/>
      <w:lvlText w:val=""/>
      <w:lvlJc w:val="left"/>
      <w:pPr>
        <w:tabs>
          <w:tab w:val="num" w:pos="1068"/>
        </w:tabs>
        <w:ind w:left="1068" w:hanging="360"/>
      </w:pPr>
      <w:rPr>
        <w:rFonts w:ascii="Wingdings" w:hAnsi="Wingdings" w:hint="default"/>
      </w:rPr>
    </w:lvl>
    <w:lvl w:ilvl="1" w:tplc="817256EA" w:tentative="1">
      <w:start w:val="1"/>
      <w:numFmt w:val="bullet"/>
      <w:lvlText w:val=""/>
      <w:lvlJc w:val="left"/>
      <w:pPr>
        <w:tabs>
          <w:tab w:val="num" w:pos="1788"/>
        </w:tabs>
        <w:ind w:left="1788" w:hanging="360"/>
      </w:pPr>
      <w:rPr>
        <w:rFonts w:ascii="Wingdings" w:hAnsi="Wingdings" w:hint="default"/>
      </w:rPr>
    </w:lvl>
    <w:lvl w:ilvl="2" w:tplc="E526A064" w:tentative="1">
      <w:start w:val="1"/>
      <w:numFmt w:val="bullet"/>
      <w:lvlText w:val=""/>
      <w:lvlJc w:val="left"/>
      <w:pPr>
        <w:tabs>
          <w:tab w:val="num" w:pos="2508"/>
        </w:tabs>
        <w:ind w:left="2508" w:hanging="360"/>
      </w:pPr>
      <w:rPr>
        <w:rFonts w:ascii="Wingdings" w:hAnsi="Wingdings" w:hint="default"/>
      </w:rPr>
    </w:lvl>
    <w:lvl w:ilvl="3" w:tplc="C7C4545C" w:tentative="1">
      <w:start w:val="1"/>
      <w:numFmt w:val="bullet"/>
      <w:lvlText w:val=""/>
      <w:lvlJc w:val="left"/>
      <w:pPr>
        <w:tabs>
          <w:tab w:val="num" w:pos="3228"/>
        </w:tabs>
        <w:ind w:left="3228" w:hanging="360"/>
      </w:pPr>
      <w:rPr>
        <w:rFonts w:ascii="Wingdings" w:hAnsi="Wingdings" w:hint="default"/>
      </w:rPr>
    </w:lvl>
    <w:lvl w:ilvl="4" w:tplc="AC105E24" w:tentative="1">
      <w:start w:val="1"/>
      <w:numFmt w:val="bullet"/>
      <w:lvlText w:val=""/>
      <w:lvlJc w:val="left"/>
      <w:pPr>
        <w:tabs>
          <w:tab w:val="num" w:pos="3948"/>
        </w:tabs>
        <w:ind w:left="3948" w:hanging="360"/>
      </w:pPr>
      <w:rPr>
        <w:rFonts w:ascii="Wingdings" w:hAnsi="Wingdings" w:hint="default"/>
      </w:rPr>
    </w:lvl>
    <w:lvl w:ilvl="5" w:tplc="01E062A8" w:tentative="1">
      <w:start w:val="1"/>
      <w:numFmt w:val="bullet"/>
      <w:lvlText w:val=""/>
      <w:lvlJc w:val="left"/>
      <w:pPr>
        <w:tabs>
          <w:tab w:val="num" w:pos="4668"/>
        </w:tabs>
        <w:ind w:left="4668" w:hanging="360"/>
      </w:pPr>
      <w:rPr>
        <w:rFonts w:ascii="Wingdings" w:hAnsi="Wingdings" w:hint="default"/>
      </w:rPr>
    </w:lvl>
    <w:lvl w:ilvl="6" w:tplc="499A2134" w:tentative="1">
      <w:start w:val="1"/>
      <w:numFmt w:val="bullet"/>
      <w:lvlText w:val=""/>
      <w:lvlJc w:val="left"/>
      <w:pPr>
        <w:tabs>
          <w:tab w:val="num" w:pos="5388"/>
        </w:tabs>
        <w:ind w:left="5388" w:hanging="360"/>
      </w:pPr>
      <w:rPr>
        <w:rFonts w:ascii="Wingdings" w:hAnsi="Wingdings" w:hint="default"/>
      </w:rPr>
    </w:lvl>
    <w:lvl w:ilvl="7" w:tplc="128289BC" w:tentative="1">
      <w:start w:val="1"/>
      <w:numFmt w:val="bullet"/>
      <w:lvlText w:val=""/>
      <w:lvlJc w:val="left"/>
      <w:pPr>
        <w:tabs>
          <w:tab w:val="num" w:pos="6108"/>
        </w:tabs>
        <w:ind w:left="6108" w:hanging="360"/>
      </w:pPr>
      <w:rPr>
        <w:rFonts w:ascii="Wingdings" w:hAnsi="Wingdings" w:hint="default"/>
      </w:rPr>
    </w:lvl>
    <w:lvl w:ilvl="8" w:tplc="5CEE99D2"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A2B7BF0"/>
    <w:multiLevelType w:val="hybridMultilevel"/>
    <w:tmpl w:val="501E015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B396ACC"/>
    <w:multiLevelType w:val="hybridMultilevel"/>
    <w:tmpl w:val="C74406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2994347"/>
    <w:multiLevelType w:val="hybridMultilevel"/>
    <w:tmpl w:val="01F42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BB25828"/>
    <w:multiLevelType w:val="hybridMultilevel"/>
    <w:tmpl w:val="90A8153C"/>
    <w:lvl w:ilvl="0" w:tplc="27E01C86">
      <w:start w:val="1"/>
      <w:numFmt w:val="bullet"/>
      <w:lvlText w:val="•"/>
      <w:lvlJc w:val="left"/>
      <w:pPr>
        <w:tabs>
          <w:tab w:val="num" w:pos="720"/>
        </w:tabs>
        <w:ind w:left="720" w:hanging="360"/>
      </w:pPr>
      <w:rPr>
        <w:rFonts w:ascii="Arial" w:hAnsi="Arial" w:hint="default"/>
      </w:rPr>
    </w:lvl>
    <w:lvl w:ilvl="1" w:tplc="800A805C" w:tentative="1">
      <w:start w:val="1"/>
      <w:numFmt w:val="bullet"/>
      <w:lvlText w:val="•"/>
      <w:lvlJc w:val="left"/>
      <w:pPr>
        <w:tabs>
          <w:tab w:val="num" w:pos="1440"/>
        </w:tabs>
        <w:ind w:left="1440" w:hanging="360"/>
      </w:pPr>
      <w:rPr>
        <w:rFonts w:ascii="Arial" w:hAnsi="Arial" w:hint="default"/>
      </w:rPr>
    </w:lvl>
    <w:lvl w:ilvl="2" w:tplc="AFD2B02C" w:tentative="1">
      <w:start w:val="1"/>
      <w:numFmt w:val="bullet"/>
      <w:lvlText w:val="•"/>
      <w:lvlJc w:val="left"/>
      <w:pPr>
        <w:tabs>
          <w:tab w:val="num" w:pos="2160"/>
        </w:tabs>
        <w:ind w:left="2160" w:hanging="360"/>
      </w:pPr>
      <w:rPr>
        <w:rFonts w:ascii="Arial" w:hAnsi="Arial" w:hint="default"/>
      </w:rPr>
    </w:lvl>
    <w:lvl w:ilvl="3" w:tplc="F8FA156E" w:tentative="1">
      <w:start w:val="1"/>
      <w:numFmt w:val="bullet"/>
      <w:lvlText w:val="•"/>
      <w:lvlJc w:val="left"/>
      <w:pPr>
        <w:tabs>
          <w:tab w:val="num" w:pos="2880"/>
        </w:tabs>
        <w:ind w:left="2880" w:hanging="360"/>
      </w:pPr>
      <w:rPr>
        <w:rFonts w:ascii="Arial" w:hAnsi="Arial" w:hint="default"/>
      </w:rPr>
    </w:lvl>
    <w:lvl w:ilvl="4" w:tplc="8C867868" w:tentative="1">
      <w:start w:val="1"/>
      <w:numFmt w:val="bullet"/>
      <w:lvlText w:val="•"/>
      <w:lvlJc w:val="left"/>
      <w:pPr>
        <w:tabs>
          <w:tab w:val="num" w:pos="3600"/>
        </w:tabs>
        <w:ind w:left="3600" w:hanging="360"/>
      </w:pPr>
      <w:rPr>
        <w:rFonts w:ascii="Arial" w:hAnsi="Arial" w:hint="default"/>
      </w:rPr>
    </w:lvl>
    <w:lvl w:ilvl="5" w:tplc="B6D0D9AA" w:tentative="1">
      <w:start w:val="1"/>
      <w:numFmt w:val="bullet"/>
      <w:lvlText w:val="•"/>
      <w:lvlJc w:val="left"/>
      <w:pPr>
        <w:tabs>
          <w:tab w:val="num" w:pos="4320"/>
        </w:tabs>
        <w:ind w:left="4320" w:hanging="360"/>
      </w:pPr>
      <w:rPr>
        <w:rFonts w:ascii="Arial" w:hAnsi="Arial" w:hint="default"/>
      </w:rPr>
    </w:lvl>
    <w:lvl w:ilvl="6" w:tplc="C9BEFEB4" w:tentative="1">
      <w:start w:val="1"/>
      <w:numFmt w:val="bullet"/>
      <w:lvlText w:val="•"/>
      <w:lvlJc w:val="left"/>
      <w:pPr>
        <w:tabs>
          <w:tab w:val="num" w:pos="5040"/>
        </w:tabs>
        <w:ind w:left="5040" w:hanging="360"/>
      </w:pPr>
      <w:rPr>
        <w:rFonts w:ascii="Arial" w:hAnsi="Arial" w:hint="default"/>
      </w:rPr>
    </w:lvl>
    <w:lvl w:ilvl="7" w:tplc="DBE2ECB4" w:tentative="1">
      <w:start w:val="1"/>
      <w:numFmt w:val="bullet"/>
      <w:lvlText w:val="•"/>
      <w:lvlJc w:val="left"/>
      <w:pPr>
        <w:tabs>
          <w:tab w:val="num" w:pos="5760"/>
        </w:tabs>
        <w:ind w:left="5760" w:hanging="360"/>
      </w:pPr>
      <w:rPr>
        <w:rFonts w:ascii="Arial" w:hAnsi="Arial" w:hint="default"/>
      </w:rPr>
    </w:lvl>
    <w:lvl w:ilvl="8" w:tplc="6D2A698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043B2C"/>
    <w:multiLevelType w:val="hybridMultilevel"/>
    <w:tmpl w:val="AB1497B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4BDC7F83"/>
    <w:multiLevelType w:val="hybridMultilevel"/>
    <w:tmpl w:val="DA0EE54A"/>
    <w:lvl w:ilvl="0" w:tplc="0BECDE26">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C8B2CE0"/>
    <w:multiLevelType w:val="multilevel"/>
    <w:tmpl w:val="8C8EA436"/>
    <w:lvl w:ilvl="0">
      <w:start w:val="2"/>
      <w:numFmt w:val="upperRoman"/>
      <w:lvlText w:val="%1."/>
      <w:lvlJc w:val="left"/>
      <w:pPr>
        <w:ind w:left="1004"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4CC029DC"/>
    <w:multiLevelType w:val="hybridMultilevel"/>
    <w:tmpl w:val="50DC5716"/>
    <w:lvl w:ilvl="0" w:tplc="6622A762">
      <w:start w:val="1"/>
      <w:numFmt w:val="bullet"/>
      <w:lvlText w:val="•"/>
      <w:lvlJc w:val="left"/>
      <w:pPr>
        <w:tabs>
          <w:tab w:val="num" w:pos="1068"/>
        </w:tabs>
        <w:ind w:left="1068" w:hanging="360"/>
      </w:pPr>
      <w:rPr>
        <w:rFonts w:ascii="Arial" w:hAnsi="Arial" w:hint="default"/>
      </w:rPr>
    </w:lvl>
    <w:lvl w:ilvl="1" w:tplc="EE72201A" w:tentative="1">
      <w:start w:val="1"/>
      <w:numFmt w:val="bullet"/>
      <w:lvlText w:val="•"/>
      <w:lvlJc w:val="left"/>
      <w:pPr>
        <w:tabs>
          <w:tab w:val="num" w:pos="1788"/>
        </w:tabs>
        <w:ind w:left="1788" w:hanging="360"/>
      </w:pPr>
      <w:rPr>
        <w:rFonts w:ascii="Arial" w:hAnsi="Arial" w:hint="default"/>
      </w:rPr>
    </w:lvl>
    <w:lvl w:ilvl="2" w:tplc="ECD0877E" w:tentative="1">
      <w:start w:val="1"/>
      <w:numFmt w:val="bullet"/>
      <w:lvlText w:val="•"/>
      <w:lvlJc w:val="left"/>
      <w:pPr>
        <w:tabs>
          <w:tab w:val="num" w:pos="2508"/>
        </w:tabs>
        <w:ind w:left="2508" w:hanging="360"/>
      </w:pPr>
      <w:rPr>
        <w:rFonts w:ascii="Arial" w:hAnsi="Arial" w:hint="default"/>
      </w:rPr>
    </w:lvl>
    <w:lvl w:ilvl="3" w:tplc="77B26A4E" w:tentative="1">
      <w:start w:val="1"/>
      <w:numFmt w:val="bullet"/>
      <w:lvlText w:val="•"/>
      <w:lvlJc w:val="left"/>
      <w:pPr>
        <w:tabs>
          <w:tab w:val="num" w:pos="3228"/>
        </w:tabs>
        <w:ind w:left="3228" w:hanging="360"/>
      </w:pPr>
      <w:rPr>
        <w:rFonts w:ascii="Arial" w:hAnsi="Arial" w:hint="default"/>
      </w:rPr>
    </w:lvl>
    <w:lvl w:ilvl="4" w:tplc="C916D2DA" w:tentative="1">
      <w:start w:val="1"/>
      <w:numFmt w:val="bullet"/>
      <w:lvlText w:val="•"/>
      <w:lvlJc w:val="left"/>
      <w:pPr>
        <w:tabs>
          <w:tab w:val="num" w:pos="3948"/>
        </w:tabs>
        <w:ind w:left="3948" w:hanging="360"/>
      </w:pPr>
      <w:rPr>
        <w:rFonts w:ascii="Arial" w:hAnsi="Arial" w:hint="default"/>
      </w:rPr>
    </w:lvl>
    <w:lvl w:ilvl="5" w:tplc="6E1478C4" w:tentative="1">
      <w:start w:val="1"/>
      <w:numFmt w:val="bullet"/>
      <w:lvlText w:val="•"/>
      <w:lvlJc w:val="left"/>
      <w:pPr>
        <w:tabs>
          <w:tab w:val="num" w:pos="4668"/>
        </w:tabs>
        <w:ind w:left="4668" w:hanging="360"/>
      </w:pPr>
      <w:rPr>
        <w:rFonts w:ascii="Arial" w:hAnsi="Arial" w:hint="default"/>
      </w:rPr>
    </w:lvl>
    <w:lvl w:ilvl="6" w:tplc="7EE80A88" w:tentative="1">
      <w:start w:val="1"/>
      <w:numFmt w:val="bullet"/>
      <w:lvlText w:val="•"/>
      <w:lvlJc w:val="left"/>
      <w:pPr>
        <w:tabs>
          <w:tab w:val="num" w:pos="5388"/>
        </w:tabs>
        <w:ind w:left="5388" w:hanging="360"/>
      </w:pPr>
      <w:rPr>
        <w:rFonts w:ascii="Arial" w:hAnsi="Arial" w:hint="default"/>
      </w:rPr>
    </w:lvl>
    <w:lvl w:ilvl="7" w:tplc="6D306C38" w:tentative="1">
      <w:start w:val="1"/>
      <w:numFmt w:val="bullet"/>
      <w:lvlText w:val="•"/>
      <w:lvlJc w:val="left"/>
      <w:pPr>
        <w:tabs>
          <w:tab w:val="num" w:pos="6108"/>
        </w:tabs>
        <w:ind w:left="6108" w:hanging="360"/>
      </w:pPr>
      <w:rPr>
        <w:rFonts w:ascii="Arial" w:hAnsi="Arial" w:hint="default"/>
      </w:rPr>
    </w:lvl>
    <w:lvl w:ilvl="8" w:tplc="34EC88A4" w:tentative="1">
      <w:start w:val="1"/>
      <w:numFmt w:val="bullet"/>
      <w:lvlText w:val="•"/>
      <w:lvlJc w:val="left"/>
      <w:pPr>
        <w:tabs>
          <w:tab w:val="num" w:pos="6828"/>
        </w:tabs>
        <w:ind w:left="6828" w:hanging="360"/>
      </w:pPr>
      <w:rPr>
        <w:rFonts w:ascii="Arial" w:hAnsi="Arial" w:hint="default"/>
      </w:rPr>
    </w:lvl>
  </w:abstractNum>
  <w:abstractNum w:abstractNumId="17" w15:restartNumberingAfterBreak="0">
    <w:nsid w:val="50424961"/>
    <w:multiLevelType w:val="hybridMultilevel"/>
    <w:tmpl w:val="A0D82C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822047"/>
    <w:multiLevelType w:val="hybridMultilevel"/>
    <w:tmpl w:val="F3BAA814"/>
    <w:styleLink w:val="WWNum145"/>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24A2AC5"/>
    <w:multiLevelType w:val="hybridMultilevel"/>
    <w:tmpl w:val="11C068B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B1B6867"/>
    <w:multiLevelType w:val="hybridMultilevel"/>
    <w:tmpl w:val="A2704EBC"/>
    <w:lvl w:ilvl="0" w:tplc="ABC2B72C">
      <w:start w:val="1"/>
      <w:numFmt w:val="upperRoman"/>
      <w:lvlText w:val="%1."/>
      <w:lvlJc w:val="left"/>
      <w:pPr>
        <w:ind w:left="1004" w:hanging="7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1" w15:restartNumberingAfterBreak="0">
    <w:nsid w:val="5B341769"/>
    <w:multiLevelType w:val="hybridMultilevel"/>
    <w:tmpl w:val="8EF48DE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BFD3387"/>
    <w:multiLevelType w:val="hybridMultilevel"/>
    <w:tmpl w:val="D6AC33E4"/>
    <w:lvl w:ilvl="0" w:tplc="041A000B">
      <w:start w:val="1"/>
      <w:numFmt w:val="bullet"/>
      <w:lvlText w:val=""/>
      <w:lvlJc w:val="left"/>
      <w:pPr>
        <w:ind w:left="720" w:hanging="360"/>
      </w:pPr>
      <w:rPr>
        <w:rFonts w:ascii="Wingdings" w:hAnsi="Wingding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0EF03EC"/>
    <w:multiLevelType w:val="hybridMultilevel"/>
    <w:tmpl w:val="318C54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E0652F"/>
    <w:multiLevelType w:val="hybridMultilevel"/>
    <w:tmpl w:val="A94AFAC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111F73"/>
    <w:multiLevelType w:val="hybridMultilevel"/>
    <w:tmpl w:val="52A28BF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44F5727"/>
    <w:multiLevelType w:val="hybridMultilevel"/>
    <w:tmpl w:val="9D16E1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D1D0724"/>
    <w:multiLevelType w:val="multilevel"/>
    <w:tmpl w:val="8C8EA436"/>
    <w:lvl w:ilvl="0">
      <w:start w:val="2"/>
      <w:numFmt w:val="upperRoman"/>
      <w:lvlText w:val="%1."/>
      <w:lvlJc w:val="left"/>
      <w:pPr>
        <w:ind w:left="1004"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14"/>
  </w:num>
  <w:num w:numId="2">
    <w:abstractNumId w:val="8"/>
  </w:num>
  <w:num w:numId="3">
    <w:abstractNumId w:val="16"/>
  </w:num>
  <w:num w:numId="4">
    <w:abstractNumId w:val="12"/>
  </w:num>
  <w:num w:numId="5">
    <w:abstractNumId w:val="4"/>
  </w:num>
  <w:num w:numId="6">
    <w:abstractNumId w:val="18"/>
  </w:num>
  <w:num w:numId="7">
    <w:abstractNumId w:val="9"/>
  </w:num>
  <w:num w:numId="8">
    <w:abstractNumId w:val="13"/>
  </w:num>
  <w:num w:numId="9">
    <w:abstractNumId w:val="0"/>
  </w:num>
  <w:num w:numId="10">
    <w:abstractNumId w:val="3"/>
  </w:num>
  <w:num w:numId="11">
    <w:abstractNumId w:val="24"/>
  </w:num>
  <w:num w:numId="12">
    <w:abstractNumId w:val="19"/>
  </w:num>
  <w:num w:numId="13">
    <w:abstractNumId w:val="5"/>
  </w:num>
  <w:num w:numId="14">
    <w:abstractNumId w:val="2"/>
  </w:num>
  <w:num w:numId="15">
    <w:abstractNumId w:val="1"/>
  </w:num>
  <w:num w:numId="16">
    <w:abstractNumId w:val="27"/>
  </w:num>
  <w:num w:numId="17">
    <w:abstractNumId w:val="25"/>
  </w:num>
  <w:num w:numId="18">
    <w:abstractNumId w:val="21"/>
  </w:num>
  <w:num w:numId="19">
    <w:abstractNumId w:val="7"/>
  </w:num>
  <w:num w:numId="20">
    <w:abstractNumId w:val="10"/>
  </w:num>
  <w:num w:numId="21">
    <w:abstractNumId w:val="20"/>
  </w:num>
  <w:num w:numId="22">
    <w:abstractNumId w:val="11"/>
  </w:num>
  <w:num w:numId="23">
    <w:abstractNumId w:val="6"/>
  </w:num>
  <w:num w:numId="24">
    <w:abstractNumId w:val="22"/>
  </w:num>
  <w:num w:numId="25">
    <w:abstractNumId w:val="15"/>
  </w:num>
  <w:num w:numId="26">
    <w:abstractNumId w:val="23"/>
  </w:num>
  <w:num w:numId="27">
    <w:abstractNumId w:val="17"/>
  </w:num>
  <w:num w:numId="2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1" w:cryptProviderType="rsaAES" w:cryptAlgorithmClass="hash" w:cryptAlgorithmType="typeAny" w:cryptAlgorithmSid="14" w:cryptSpinCount="100000" w:hash="NidOfdetPY1pW7Dv8paTxvWRQjS4TpzsMMsJBT8QZ+pAc4a3SWFqJ/5D0QkIRVOJBVMt0J+0fcJmOdQeuHfTcA==" w:salt="KWUd6AH1z/i1XIpEbgKj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B6"/>
    <w:rsid w:val="00001014"/>
    <w:rsid w:val="0000456C"/>
    <w:rsid w:val="000103F7"/>
    <w:rsid w:val="0001051C"/>
    <w:rsid w:val="0001108D"/>
    <w:rsid w:val="00012909"/>
    <w:rsid w:val="00016A4D"/>
    <w:rsid w:val="00016D07"/>
    <w:rsid w:val="00024339"/>
    <w:rsid w:val="000318F3"/>
    <w:rsid w:val="000359F1"/>
    <w:rsid w:val="000366D5"/>
    <w:rsid w:val="00044B28"/>
    <w:rsid w:val="00044F14"/>
    <w:rsid w:val="0005511A"/>
    <w:rsid w:val="0006134B"/>
    <w:rsid w:val="00064153"/>
    <w:rsid w:val="00066097"/>
    <w:rsid w:val="00067BFB"/>
    <w:rsid w:val="000714AE"/>
    <w:rsid w:val="000721BF"/>
    <w:rsid w:val="0007395B"/>
    <w:rsid w:val="00075787"/>
    <w:rsid w:val="00076903"/>
    <w:rsid w:val="000805B2"/>
    <w:rsid w:val="00081F32"/>
    <w:rsid w:val="000875BB"/>
    <w:rsid w:val="00092122"/>
    <w:rsid w:val="00092BB7"/>
    <w:rsid w:val="00095167"/>
    <w:rsid w:val="000A08C1"/>
    <w:rsid w:val="000A277E"/>
    <w:rsid w:val="000A6A08"/>
    <w:rsid w:val="000B09EA"/>
    <w:rsid w:val="000B64D6"/>
    <w:rsid w:val="000C281D"/>
    <w:rsid w:val="000C45AB"/>
    <w:rsid w:val="000C57D0"/>
    <w:rsid w:val="000D4E28"/>
    <w:rsid w:val="000E0151"/>
    <w:rsid w:val="000E0302"/>
    <w:rsid w:val="000E0980"/>
    <w:rsid w:val="000E2F3C"/>
    <w:rsid w:val="000E5988"/>
    <w:rsid w:val="000E6264"/>
    <w:rsid w:val="000F1AD5"/>
    <w:rsid w:val="000F5393"/>
    <w:rsid w:val="000F5DE9"/>
    <w:rsid w:val="000F70FE"/>
    <w:rsid w:val="000F7399"/>
    <w:rsid w:val="000F7D2F"/>
    <w:rsid w:val="00102BD5"/>
    <w:rsid w:val="0010371B"/>
    <w:rsid w:val="00104D5F"/>
    <w:rsid w:val="00107E4C"/>
    <w:rsid w:val="00111EAE"/>
    <w:rsid w:val="001135C4"/>
    <w:rsid w:val="00113A35"/>
    <w:rsid w:val="001240BA"/>
    <w:rsid w:val="00126AB7"/>
    <w:rsid w:val="00127E4B"/>
    <w:rsid w:val="00132C57"/>
    <w:rsid w:val="00132D30"/>
    <w:rsid w:val="00134AC8"/>
    <w:rsid w:val="001363B1"/>
    <w:rsid w:val="00140F38"/>
    <w:rsid w:val="001454B2"/>
    <w:rsid w:val="001470BD"/>
    <w:rsid w:val="00150743"/>
    <w:rsid w:val="0015108C"/>
    <w:rsid w:val="00152F2D"/>
    <w:rsid w:val="00153D8A"/>
    <w:rsid w:val="0015762C"/>
    <w:rsid w:val="00161F95"/>
    <w:rsid w:val="00162C2F"/>
    <w:rsid w:val="00166406"/>
    <w:rsid w:val="0017373C"/>
    <w:rsid w:val="00174A1D"/>
    <w:rsid w:val="00180163"/>
    <w:rsid w:val="00182409"/>
    <w:rsid w:val="00195480"/>
    <w:rsid w:val="0019779A"/>
    <w:rsid w:val="001A0450"/>
    <w:rsid w:val="001A0699"/>
    <w:rsid w:val="001A7C3B"/>
    <w:rsid w:val="001B1434"/>
    <w:rsid w:val="001B55F2"/>
    <w:rsid w:val="001C3BCB"/>
    <w:rsid w:val="001C4490"/>
    <w:rsid w:val="001D2C94"/>
    <w:rsid w:val="001D7BAF"/>
    <w:rsid w:val="001E092B"/>
    <w:rsid w:val="001E480E"/>
    <w:rsid w:val="001E4F9A"/>
    <w:rsid w:val="001E5220"/>
    <w:rsid w:val="001F2568"/>
    <w:rsid w:val="001F34C6"/>
    <w:rsid w:val="00200143"/>
    <w:rsid w:val="002003DB"/>
    <w:rsid w:val="0021529D"/>
    <w:rsid w:val="00220B0F"/>
    <w:rsid w:val="00223026"/>
    <w:rsid w:val="002241D8"/>
    <w:rsid w:val="00226210"/>
    <w:rsid w:val="002341DC"/>
    <w:rsid w:val="00235D05"/>
    <w:rsid w:val="00236309"/>
    <w:rsid w:val="0025454E"/>
    <w:rsid w:val="0026394F"/>
    <w:rsid w:val="00270B12"/>
    <w:rsid w:val="00271506"/>
    <w:rsid w:val="00271964"/>
    <w:rsid w:val="002734E9"/>
    <w:rsid w:val="0027551C"/>
    <w:rsid w:val="00275C38"/>
    <w:rsid w:val="00285709"/>
    <w:rsid w:val="0028666C"/>
    <w:rsid w:val="00286E66"/>
    <w:rsid w:val="00293EFB"/>
    <w:rsid w:val="002B1302"/>
    <w:rsid w:val="002B3D88"/>
    <w:rsid w:val="002B66AB"/>
    <w:rsid w:val="002C2EB1"/>
    <w:rsid w:val="002C404D"/>
    <w:rsid w:val="002C679D"/>
    <w:rsid w:val="002D1AE6"/>
    <w:rsid w:val="002D38DA"/>
    <w:rsid w:val="002D4AE1"/>
    <w:rsid w:val="002D4E13"/>
    <w:rsid w:val="002E1D4D"/>
    <w:rsid w:val="002E4D74"/>
    <w:rsid w:val="002F3C43"/>
    <w:rsid w:val="002F7D2D"/>
    <w:rsid w:val="002F7FBB"/>
    <w:rsid w:val="00301360"/>
    <w:rsid w:val="00302A4C"/>
    <w:rsid w:val="003030BD"/>
    <w:rsid w:val="00306AFF"/>
    <w:rsid w:val="003117F1"/>
    <w:rsid w:val="00314618"/>
    <w:rsid w:val="0032050E"/>
    <w:rsid w:val="00320F66"/>
    <w:rsid w:val="00323BD3"/>
    <w:rsid w:val="00331E00"/>
    <w:rsid w:val="0033227F"/>
    <w:rsid w:val="00333AB2"/>
    <w:rsid w:val="00336F70"/>
    <w:rsid w:val="003519AE"/>
    <w:rsid w:val="00352A74"/>
    <w:rsid w:val="0035555E"/>
    <w:rsid w:val="00355D7B"/>
    <w:rsid w:val="00364243"/>
    <w:rsid w:val="00371D14"/>
    <w:rsid w:val="0037390A"/>
    <w:rsid w:val="00380725"/>
    <w:rsid w:val="003831CC"/>
    <w:rsid w:val="003841DD"/>
    <w:rsid w:val="00384C9C"/>
    <w:rsid w:val="003A09B6"/>
    <w:rsid w:val="003A2980"/>
    <w:rsid w:val="003A5CF4"/>
    <w:rsid w:val="003B3868"/>
    <w:rsid w:val="003B7225"/>
    <w:rsid w:val="003B7531"/>
    <w:rsid w:val="003C1ECC"/>
    <w:rsid w:val="003C58E3"/>
    <w:rsid w:val="003D374D"/>
    <w:rsid w:val="003D3C44"/>
    <w:rsid w:val="003D57B2"/>
    <w:rsid w:val="003D5FBE"/>
    <w:rsid w:val="003D6D57"/>
    <w:rsid w:val="003E1B53"/>
    <w:rsid w:val="003E205F"/>
    <w:rsid w:val="003E34E6"/>
    <w:rsid w:val="003E402A"/>
    <w:rsid w:val="003E5906"/>
    <w:rsid w:val="003E778C"/>
    <w:rsid w:val="003F1764"/>
    <w:rsid w:val="003F61FD"/>
    <w:rsid w:val="00402152"/>
    <w:rsid w:val="00402767"/>
    <w:rsid w:val="00404756"/>
    <w:rsid w:val="00404E9E"/>
    <w:rsid w:val="00414BF0"/>
    <w:rsid w:val="004151A0"/>
    <w:rsid w:val="004218BC"/>
    <w:rsid w:val="00427F7D"/>
    <w:rsid w:val="00430627"/>
    <w:rsid w:val="0043357B"/>
    <w:rsid w:val="00433CD9"/>
    <w:rsid w:val="00440CD2"/>
    <w:rsid w:val="00440EB3"/>
    <w:rsid w:val="0044673D"/>
    <w:rsid w:val="0045148C"/>
    <w:rsid w:val="00453458"/>
    <w:rsid w:val="00460755"/>
    <w:rsid w:val="0046452B"/>
    <w:rsid w:val="004649F8"/>
    <w:rsid w:val="00472D4A"/>
    <w:rsid w:val="00476FB9"/>
    <w:rsid w:val="004775A1"/>
    <w:rsid w:val="0048069C"/>
    <w:rsid w:val="004832B5"/>
    <w:rsid w:val="00484B25"/>
    <w:rsid w:val="004864CA"/>
    <w:rsid w:val="00491BC4"/>
    <w:rsid w:val="00492C86"/>
    <w:rsid w:val="00497053"/>
    <w:rsid w:val="00497C56"/>
    <w:rsid w:val="004A6541"/>
    <w:rsid w:val="004B0CAC"/>
    <w:rsid w:val="004B1948"/>
    <w:rsid w:val="004B199B"/>
    <w:rsid w:val="004B2BF5"/>
    <w:rsid w:val="004C0EAD"/>
    <w:rsid w:val="004C1C4C"/>
    <w:rsid w:val="004C2808"/>
    <w:rsid w:val="004C28A2"/>
    <w:rsid w:val="004C42AD"/>
    <w:rsid w:val="004C43D3"/>
    <w:rsid w:val="004C68E7"/>
    <w:rsid w:val="004C6FC6"/>
    <w:rsid w:val="004D172F"/>
    <w:rsid w:val="004E4BB5"/>
    <w:rsid w:val="004E6528"/>
    <w:rsid w:val="004E71EA"/>
    <w:rsid w:val="004E7BA1"/>
    <w:rsid w:val="004F3FCB"/>
    <w:rsid w:val="004F6E5F"/>
    <w:rsid w:val="005035C6"/>
    <w:rsid w:val="00503E08"/>
    <w:rsid w:val="0050539F"/>
    <w:rsid w:val="00506286"/>
    <w:rsid w:val="00512649"/>
    <w:rsid w:val="005132A8"/>
    <w:rsid w:val="00516FC7"/>
    <w:rsid w:val="00520397"/>
    <w:rsid w:val="00531E35"/>
    <w:rsid w:val="00537D8C"/>
    <w:rsid w:val="00542CF2"/>
    <w:rsid w:val="00546D90"/>
    <w:rsid w:val="00547EE0"/>
    <w:rsid w:val="005535A1"/>
    <w:rsid w:val="005618FD"/>
    <w:rsid w:val="005730AD"/>
    <w:rsid w:val="00576A0D"/>
    <w:rsid w:val="00581473"/>
    <w:rsid w:val="00581D8A"/>
    <w:rsid w:val="0058269F"/>
    <w:rsid w:val="00584023"/>
    <w:rsid w:val="00592322"/>
    <w:rsid w:val="005927E6"/>
    <w:rsid w:val="005A2B7A"/>
    <w:rsid w:val="005A31CE"/>
    <w:rsid w:val="005A4F8B"/>
    <w:rsid w:val="005B0AF4"/>
    <w:rsid w:val="005B2E02"/>
    <w:rsid w:val="005B50B2"/>
    <w:rsid w:val="005C0FD7"/>
    <w:rsid w:val="005C3881"/>
    <w:rsid w:val="005C4C15"/>
    <w:rsid w:val="005C4D79"/>
    <w:rsid w:val="005C730A"/>
    <w:rsid w:val="005C7840"/>
    <w:rsid w:val="005D48AF"/>
    <w:rsid w:val="005D4FDC"/>
    <w:rsid w:val="005D6742"/>
    <w:rsid w:val="005E0110"/>
    <w:rsid w:val="005E16BA"/>
    <w:rsid w:val="005E4005"/>
    <w:rsid w:val="005E7484"/>
    <w:rsid w:val="005F1549"/>
    <w:rsid w:val="005F5861"/>
    <w:rsid w:val="00600A9C"/>
    <w:rsid w:val="00607D62"/>
    <w:rsid w:val="006109DB"/>
    <w:rsid w:val="00612AB3"/>
    <w:rsid w:val="006144AA"/>
    <w:rsid w:val="006200BC"/>
    <w:rsid w:val="00622E10"/>
    <w:rsid w:val="00625587"/>
    <w:rsid w:val="00633701"/>
    <w:rsid w:val="00634CDD"/>
    <w:rsid w:val="00641079"/>
    <w:rsid w:val="00641832"/>
    <w:rsid w:val="00647167"/>
    <w:rsid w:val="00655DB2"/>
    <w:rsid w:val="00662797"/>
    <w:rsid w:val="00672018"/>
    <w:rsid w:val="00675A0C"/>
    <w:rsid w:val="006973B7"/>
    <w:rsid w:val="006A3202"/>
    <w:rsid w:val="006A4244"/>
    <w:rsid w:val="006A5F9B"/>
    <w:rsid w:val="006A7E4D"/>
    <w:rsid w:val="006B1FE5"/>
    <w:rsid w:val="006B4D69"/>
    <w:rsid w:val="006B629D"/>
    <w:rsid w:val="006B6FAE"/>
    <w:rsid w:val="006C0599"/>
    <w:rsid w:val="006C73F1"/>
    <w:rsid w:val="006C7CBB"/>
    <w:rsid w:val="006D50FC"/>
    <w:rsid w:val="006D7596"/>
    <w:rsid w:val="006E3EE7"/>
    <w:rsid w:val="006E7D4F"/>
    <w:rsid w:val="006F2062"/>
    <w:rsid w:val="006F3CCC"/>
    <w:rsid w:val="006F5835"/>
    <w:rsid w:val="006F7546"/>
    <w:rsid w:val="00700FA5"/>
    <w:rsid w:val="00711AE4"/>
    <w:rsid w:val="00715A49"/>
    <w:rsid w:val="0072571A"/>
    <w:rsid w:val="00750FE0"/>
    <w:rsid w:val="00753626"/>
    <w:rsid w:val="0075624F"/>
    <w:rsid w:val="0076024D"/>
    <w:rsid w:val="00761F1F"/>
    <w:rsid w:val="007713C7"/>
    <w:rsid w:val="00772490"/>
    <w:rsid w:val="0077789D"/>
    <w:rsid w:val="00790489"/>
    <w:rsid w:val="007954F5"/>
    <w:rsid w:val="00796A4E"/>
    <w:rsid w:val="007A136F"/>
    <w:rsid w:val="007A598F"/>
    <w:rsid w:val="007B1BBF"/>
    <w:rsid w:val="007B2385"/>
    <w:rsid w:val="007B36B2"/>
    <w:rsid w:val="007B5288"/>
    <w:rsid w:val="007B5CB8"/>
    <w:rsid w:val="007C032D"/>
    <w:rsid w:val="007C3C22"/>
    <w:rsid w:val="007C3E42"/>
    <w:rsid w:val="007C3ECB"/>
    <w:rsid w:val="007C68D4"/>
    <w:rsid w:val="007C787D"/>
    <w:rsid w:val="007D451C"/>
    <w:rsid w:val="007D7217"/>
    <w:rsid w:val="007E11F0"/>
    <w:rsid w:val="007E4200"/>
    <w:rsid w:val="007E5D3A"/>
    <w:rsid w:val="007E646A"/>
    <w:rsid w:val="007F4173"/>
    <w:rsid w:val="007F68A7"/>
    <w:rsid w:val="00804D2B"/>
    <w:rsid w:val="00806738"/>
    <w:rsid w:val="0080697F"/>
    <w:rsid w:val="00806E8A"/>
    <w:rsid w:val="00815F5E"/>
    <w:rsid w:val="00817E04"/>
    <w:rsid w:val="008303D7"/>
    <w:rsid w:val="008325C7"/>
    <w:rsid w:val="0083397F"/>
    <w:rsid w:val="00837401"/>
    <w:rsid w:val="00845295"/>
    <w:rsid w:val="00857F8B"/>
    <w:rsid w:val="0086184C"/>
    <w:rsid w:val="0086490C"/>
    <w:rsid w:val="0086617A"/>
    <w:rsid w:val="008717ED"/>
    <w:rsid w:val="00871EE7"/>
    <w:rsid w:val="008747F2"/>
    <w:rsid w:val="00874B4B"/>
    <w:rsid w:val="00881E67"/>
    <w:rsid w:val="00891CE9"/>
    <w:rsid w:val="0089425A"/>
    <w:rsid w:val="00896BB8"/>
    <w:rsid w:val="008A39B2"/>
    <w:rsid w:val="008B4416"/>
    <w:rsid w:val="008C423D"/>
    <w:rsid w:val="008C6613"/>
    <w:rsid w:val="008C6FA9"/>
    <w:rsid w:val="008C7D56"/>
    <w:rsid w:val="008D05DC"/>
    <w:rsid w:val="008D1AD2"/>
    <w:rsid w:val="008D1F18"/>
    <w:rsid w:val="008D6955"/>
    <w:rsid w:val="008D6AC2"/>
    <w:rsid w:val="008F14C3"/>
    <w:rsid w:val="008F42F2"/>
    <w:rsid w:val="008F59CB"/>
    <w:rsid w:val="008F69AB"/>
    <w:rsid w:val="0090325C"/>
    <w:rsid w:val="00907801"/>
    <w:rsid w:val="00910508"/>
    <w:rsid w:val="00911F0E"/>
    <w:rsid w:val="009128F4"/>
    <w:rsid w:val="00913387"/>
    <w:rsid w:val="0092509E"/>
    <w:rsid w:val="00925AF4"/>
    <w:rsid w:val="00926E1F"/>
    <w:rsid w:val="00927248"/>
    <w:rsid w:val="00930D75"/>
    <w:rsid w:val="0093240A"/>
    <w:rsid w:val="00932A16"/>
    <w:rsid w:val="009343CC"/>
    <w:rsid w:val="00934CB6"/>
    <w:rsid w:val="00936CFB"/>
    <w:rsid w:val="00940E27"/>
    <w:rsid w:val="009432F2"/>
    <w:rsid w:val="009440E6"/>
    <w:rsid w:val="00945258"/>
    <w:rsid w:val="009467EE"/>
    <w:rsid w:val="00954304"/>
    <w:rsid w:val="00961429"/>
    <w:rsid w:val="00961488"/>
    <w:rsid w:val="00962E5E"/>
    <w:rsid w:val="00963FC3"/>
    <w:rsid w:val="00965CE3"/>
    <w:rsid w:val="009707D7"/>
    <w:rsid w:val="00971979"/>
    <w:rsid w:val="00972D9D"/>
    <w:rsid w:val="00975526"/>
    <w:rsid w:val="009822CE"/>
    <w:rsid w:val="00982489"/>
    <w:rsid w:val="00984231"/>
    <w:rsid w:val="00993CCA"/>
    <w:rsid w:val="00995B79"/>
    <w:rsid w:val="0099755B"/>
    <w:rsid w:val="009A32ED"/>
    <w:rsid w:val="009A368B"/>
    <w:rsid w:val="009A3C19"/>
    <w:rsid w:val="009A4E6A"/>
    <w:rsid w:val="009B3A8B"/>
    <w:rsid w:val="009B600A"/>
    <w:rsid w:val="009C5AFC"/>
    <w:rsid w:val="009C7C8C"/>
    <w:rsid w:val="009D0BA8"/>
    <w:rsid w:val="009D15EC"/>
    <w:rsid w:val="009D17F6"/>
    <w:rsid w:val="009D41BE"/>
    <w:rsid w:val="009D475B"/>
    <w:rsid w:val="009D565A"/>
    <w:rsid w:val="009E04D3"/>
    <w:rsid w:val="009E3615"/>
    <w:rsid w:val="009E65AE"/>
    <w:rsid w:val="009F191F"/>
    <w:rsid w:val="009F288C"/>
    <w:rsid w:val="009F37A3"/>
    <w:rsid w:val="009F400F"/>
    <w:rsid w:val="00A018E5"/>
    <w:rsid w:val="00A074FC"/>
    <w:rsid w:val="00A106A8"/>
    <w:rsid w:val="00A2037F"/>
    <w:rsid w:val="00A30C51"/>
    <w:rsid w:val="00A31472"/>
    <w:rsid w:val="00A37E73"/>
    <w:rsid w:val="00A446DC"/>
    <w:rsid w:val="00A47834"/>
    <w:rsid w:val="00A51762"/>
    <w:rsid w:val="00A537A7"/>
    <w:rsid w:val="00A5650C"/>
    <w:rsid w:val="00A62621"/>
    <w:rsid w:val="00A62C05"/>
    <w:rsid w:val="00A62E45"/>
    <w:rsid w:val="00A66E10"/>
    <w:rsid w:val="00A72A9F"/>
    <w:rsid w:val="00A7523F"/>
    <w:rsid w:val="00A77D85"/>
    <w:rsid w:val="00A84157"/>
    <w:rsid w:val="00A90608"/>
    <w:rsid w:val="00A9067D"/>
    <w:rsid w:val="00A956E1"/>
    <w:rsid w:val="00A96E5A"/>
    <w:rsid w:val="00AA11A1"/>
    <w:rsid w:val="00AA20E4"/>
    <w:rsid w:val="00AA3E53"/>
    <w:rsid w:val="00AB024D"/>
    <w:rsid w:val="00AC1DA9"/>
    <w:rsid w:val="00AD32CC"/>
    <w:rsid w:val="00AE167C"/>
    <w:rsid w:val="00AE4CC8"/>
    <w:rsid w:val="00AF2559"/>
    <w:rsid w:val="00AF5C5D"/>
    <w:rsid w:val="00AF6269"/>
    <w:rsid w:val="00B00F5C"/>
    <w:rsid w:val="00B01A61"/>
    <w:rsid w:val="00B01DD7"/>
    <w:rsid w:val="00B02105"/>
    <w:rsid w:val="00B040B9"/>
    <w:rsid w:val="00B047D9"/>
    <w:rsid w:val="00B11336"/>
    <w:rsid w:val="00B11DC1"/>
    <w:rsid w:val="00B14CB3"/>
    <w:rsid w:val="00B17142"/>
    <w:rsid w:val="00B20829"/>
    <w:rsid w:val="00B22205"/>
    <w:rsid w:val="00B24C10"/>
    <w:rsid w:val="00B24D26"/>
    <w:rsid w:val="00B26350"/>
    <w:rsid w:val="00B3315D"/>
    <w:rsid w:val="00B33380"/>
    <w:rsid w:val="00B3480F"/>
    <w:rsid w:val="00B36742"/>
    <w:rsid w:val="00B40715"/>
    <w:rsid w:val="00B40A09"/>
    <w:rsid w:val="00B44058"/>
    <w:rsid w:val="00B44DAE"/>
    <w:rsid w:val="00B45786"/>
    <w:rsid w:val="00B47E3F"/>
    <w:rsid w:val="00B500BA"/>
    <w:rsid w:val="00B523C8"/>
    <w:rsid w:val="00B54BFB"/>
    <w:rsid w:val="00B60E9B"/>
    <w:rsid w:val="00B6179B"/>
    <w:rsid w:val="00B61CF9"/>
    <w:rsid w:val="00B6522A"/>
    <w:rsid w:val="00B65A29"/>
    <w:rsid w:val="00B72535"/>
    <w:rsid w:val="00B74A17"/>
    <w:rsid w:val="00B7668A"/>
    <w:rsid w:val="00B80C78"/>
    <w:rsid w:val="00B87C15"/>
    <w:rsid w:val="00B91876"/>
    <w:rsid w:val="00B94B86"/>
    <w:rsid w:val="00B9747B"/>
    <w:rsid w:val="00BA189F"/>
    <w:rsid w:val="00BA26CE"/>
    <w:rsid w:val="00BA29A6"/>
    <w:rsid w:val="00BA36DC"/>
    <w:rsid w:val="00BA3E3A"/>
    <w:rsid w:val="00BA4CAE"/>
    <w:rsid w:val="00BA663A"/>
    <w:rsid w:val="00BB0D9F"/>
    <w:rsid w:val="00BB249F"/>
    <w:rsid w:val="00BC1143"/>
    <w:rsid w:val="00BC4906"/>
    <w:rsid w:val="00BC4E04"/>
    <w:rsid w:val="00BC7DD1"/>
    <w:rsid w:val="00BD666C"/>
    <w:rsid w:val="00BE50E9"/>
    <w:rsid w:val="00BE6881"/>
    <w:rsid w:val="00BE69C0"/>
    <w:rsid w:val="00BF2390"/>
    <w:rsid w:val="00BF6FBD"/>
    <w:rsid w:val="00BF75B2"/>
    <w:rsid w:val="00C04E1B"/>
    <w:rsid w:val="00C07919"/>
    <w:rsid w:val="00C202FA"/>
    <w:rsid w:val="00C21009"/>
    <w:rsid w:val="00C32320"/>
    <w:rsid w:val="00C37135"/>
    <w:rsid w:val="00C44801"/>
    <w:rsid w:val="00C50E5A"/>
    <w:rsid w:val="00C67DAC"/>
    <w:rsid w:val="00C751D1"/>
    <w:rsid w:val="00C75215"/>
    <w:rsid w:val="00C77666"/>
    <w:rsid w:val="00C8130A"/>
    <w:rsid w:val="00C8142C"/>
    <w:rsid w:val="00C818C9"/>
    <w:rsid w:val="00C81C73"/>
    <w:rsid w:val="00C8274D"/>
    <w:rsid w:val="00C84D80"/>
    <w:rsid w:val="00C86F7B"/>
    <w:rsid w:val="00C90EA7"/>
    <w:rsid w:val="00CA1A50"/>
    <w:rsid w:val="00CA1CF3"/>
    <w:rsid w:val="00CB05AE"/>
    <w:rsid w:val="00CB31BF"/>
    <w:rsid w:val="00CB33B2"/>
    <w:rsid w:val="00CC13BE"/>
    <w:rsid w:val="00CC2426"/>
    <w:rsid w:val="00CC2795"/>
    <w:rsid w:val="00CC5F72"/>
    <w:rsid w:val="00CC6372"/>
    <w:rsid w:val="00CC716D"/>
    <w:rsid w:val="00CC7F72"/>
    <w:rsid w:val="00CD208D"/>
    <w:rsid w:val="00CD37A9"/>
    <w:rsid w:val="00CD3AA4"/>
    <w:rsid w:val="00CE12E7"/>
    <w:rsid w:val="00CE329A"/>
    <w:rsid w:val="00CE7825"/>
    <w:rsid w:val="00CF02AD"/>
    <w:rsid w:val="00CF2861"/>
    <w:rsid w:val="00CF301E"/>
    <w:rsid w:val="00CF4700"/>
    <w:rsid w:val="00CF4AC4"/>
    <w:rsid w:val="00CF5A78"/>
    <w:rsid w:val="00CF7035"/>
    <w:rsid w:val="00D04EB0"/>
    <w:rsid w:val="00D05438"/>
    <w:rsid w:val="00D12EDB"/>
    <w:rsid w:val="00D24FCA"/>
    <w:rsid w:val="00D2621B"/>
    <w:rsid w:val="00D267EF"/>
    <w:rsid w:val="00D27118"/>
    <w:rsid w:val="00D32EB7"/>
    <w:rsid w:val="00D33B6E"/>
    <w:rsid w:val="00D34951"/>
    <w:rsid w:val="00D34A6F"/>
    <w:rsid w:val="00D50D81"/>
    <w:rsid w:val="00D55B93"/>
    <w:rsid w:val="00D57AEF"/>
    <w:rsid w:val="00D6632E"/>
    <w:rsid w:val="00D70DB8"/>
    <w:rsid w:val="00D72AFB"/>
    <w:rsid w:val="00D72E68"/>
    <w:rsid w:val="00D73E1A"/>
    <w:rsid w:val="00D8071F"/>
    <w:rsid w:val="00DA5DDF"/>
    <w:rsid w:val="00DB2DE7"/>
    <w:rsid w:val="00DB3FF0"/>
    <w:rsid w:val="00DB7B8A"/>
    <w:rsid w:val="00DC4331"/>
    <w:rsid w:val="00DD30CD"/>
    <w:rsid w:val="00DD604F"/>
    <w:rsid w:val="00DD72F8"/>
    <w:rsid w:val="00DE01EE"/>
    <w:rsid w:val="00DE4704"/>
    <w:rsid w:val="00DE5F85"/>
    <w:rsid w:val="00DE7565"/>
    <w:rsid w:val="00DF30C8"/>
    <w:rsid w:val="00DF6C57"/>
    <w:rsid w:val="00E01020"/>
    <w:rsid w:val="00E01EDF"/>
    <w:rsid w:val="00E0393C"/>
    <w:rsid w:val="00E107A4"/>
    <w:rsid w:val="00E22AD5"/>
    <w:rsid w:val="00E23DAE"/>
    <w:rsid w:val="00E2429E"/>
    <w:rsid w:val="00E24449"/>
    <w:rsid w:val="00E26B8E"/>
    <w:rsid w:val="00E338AF"/>
    <w:rsid w:val="00E3447E"/>
    <w:rsid w:val="00E34B31"/>
    <w:rsid w:val="00E4340A"/>
    <w:rsid w:val="00E52ABF"/>
    <w:rsid w:val="00E5548C"/>
    <w:rsid w:val="00E600B1"/>
    <w:rsid w:val="00E63F96"/>
    <w:rsid w:val="00E66F88"/>
    <w:rsid w:val="00E800DE"/>
    <w:rsid w:val="00E836F9"/>
    <w:rsid w:val="00E84819"/>
    <w:rsid w:val="00E91F4E"/>
    <w:rsid w:val="00E923DE"/>
    <w:rsid w:val="00E92A61"/>
    <w:rsid w:val="00E9463D"/>
    <w:rsid w:val="00E95247"/>
    <w:rsid w:val="00EA4D7C"/>
    <w:rsid w:val="00EB4C20"/>
    <w:rsid w:val="00EB5AB7"/>
    <w:rsid w:val="00EB62DF"/>
    <w:rsid w:val="00ED231D"/>
    <w:rsid w:val="00ED3E49"/>
    <w:rsid w:val="00ED6CCD"/>
    <w:rsid w:val="00EE08E5"/>
    <w:rsid w:val="00EE0BC9"/>
    <w:rsid w:val="00EE101F"/>
    <w:rsid w:val="00EE1093"/>
    <w:rsid w:val="00EE3FCF"/>
    <w:rsid w:val="00EE4706"/>
    <w:rsid w:val="00EE5A7B"/>
    <w:rsid w:val="00EF0401"/>
    <w:rsid w:val="00EF0B32"/>
    <w:rsid w:val="00EF24E9"/>
    <w:rsid w:val="00EF4847"/>
    <w:rsid w:val="00EF7DDE"/>
    <w:rsid w:val="00F00E03"/>
    <w:rsid w:val="00F04D7A"/>
    <w:rsid w:val="00F05949"/>
    <w:rsid w:val="00F103EF"/>
    <w:rsid w:val="00F1133E"/>
    <w:rsid w:val="00F36969"/>
    <w:rsid w:val="00F41E0F"/>
    <w:rsid w:val="00F42BD4"/>
    <w:rsid w:val="00F44C85"/>
    <w:rsid w:val="00F46377"/>
    <w:rsid w:val="00F50262"/>
    <w:rsid w:val="00F64F09"/>
    <w:rsid w:val="00F73D9F"/>
    <w:rsid w:val="00F83FF6"/>
    <w:rsid w:val="00F85E21"/>
    <w:rsid w:val="00F95454"/>
    <w:rsid w:val="00F95690"/>
    <w:rsid w:val="00F97D89"/>
    <w:rsid w:val="00FA6812"/>
    <w:rsid w:val="00FB4981"/>
    <w:rsid w:val="00FC4330"/>
    <w:rsid w:val="00FC4C96"/>
    <w:rsid w:val="00FC69DB"/>
    <w:rsid w:val="00FC79DC"/>
    <w:rsid w:val="00FD3803"/>
    <w:rsid w:val="00FD5337"/>
    <w:rsid w:val="00FD7A9C"/>
    <w:rsid w:val="00FF0362"/>
    <w:rsid w:val="00FF1971"/>
    <w:rsid w:val="00FF7A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BA4F9-45EA-42BD-BA03-07B46B31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0E6"/>
    <w:rPr>
      <w:rFonts w:ascii="Calibri" w:eastAsia="Times New Roman" w:hAnsi="Calibri" w:cs="Times New Roman"/>
      <w:lang w:eastAsia="hr-HR"/>
    </w:rPr>
  </w:style>
  <w:style w:type="paragraph" w:styleId="Heading1">
    <w:name w:val="heading 1"/>
    <w:basedOn w:val="Normal"/>
    <w:next w:val="Normal"/>
    <w:link w:val="Heading1Char"/>
    <w:uiPriority w:val="9"/>
    <w:qFormat/>
    <w:rsid w:val="003A09B6"/>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1B14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D7B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9B6"/>
    <w:rPr>
      <w:rFonts w:ascii="Calibri Light" w:eastAsia="SimSun" w:hAnsi="Calibri Light" w:cs="Times New Roman"/>
      <w:color w:val="1F4E79"/>
      <w:sz w:val="36"/>
      <w:szCs w:val="36"/>
      <w:lang w:eastAsia="hr-HR"/>
    </w:rPr>
  </w:style>
  <w:style w:type="character" w:styleId="Hyperlink">
    <w:name w:val="Hyperlink"/>
    <w:uiPriority w:val="99"/>
    <w:rsid w:val="003A09B6"/>
    <w:rPr>
      <w:strike w:val="0"/>
      <w:dstrike w:val="0"/>
      <w:color w:val="CC0000"/>
      <w:u w:val="none"/>
      <w:effect w:val="none"/>
    </w:rPr>
  </w:style>
  <w:style w:type="paragraph" w:styleId="Header">
    <w:name w:val="header"/>
    <w:basedOn w:val="Normal"/>
    <w:link w:val="HeaderChar"/>
    <w:uiPriority w:val="99"/>
    <w:rsid w:val="003A09B6"/>
    <w:pPr>
      <w:tabs>
        <w:tab w:val="center" w:pos="4536"/>
        <w:tab w:val="right" w:pos="9072"/>
      </w:tabs>
    </w:pPr>
  </w:style>
  <w:style w:type="character" w:customStyle="1" w:styleId="HeaderChar">
    <w:name w:val="Header Char"/>
    <w:basedOn w:val="DefaultParagraphFont"/>
    <w:link w:val="Header"/>
    <w:uiPriority w:val="99"/>
    <w:rsid w:val="003A09B6"/>
    <w:rPr>
      <w:rFonts w:ascii="Calibri" w:eastAsia="Times New Roman" w:hAnsi="Calibri" w:cs="Times New Roman"/>
      <w:lang w:eastAsia="hr-HR"/>
    </w:rPr>
  </w:style>
  <w:style w:type="paragraph" w:styleId="Footer">
    <w:name w:val="footer"/>
    <w:basedOn w:val="Normal"/>
    <w:link w:val="FooterChar"/>
    <w:uiPriority w:val="99"/>
    <w:rsid w:val="003A09B6"/>
    <w:pPr>
      <w:tabs>
        <w:tab w:val="center" w:pos="4536"/>
        <w:tab w:val="right" w:pos="9072"/>
      </w:tabs>
    </w:pPr>
  </w:style>
  <w:style w:type="character" w:customStyle="1" w:styleId="FooterChar">
    <w:name w:val="Footer Char"/>
    <w:basedOn w:val="DefaultParagraphFont"/>
    <w:link w:val="Footer"/>
    <w:uiPriority w:val="99"/>
    <w:rsid w:val="003A09B6"/>
    <w:rPr>
      <w:rFonts w:ascii="Calibri" w:eastAsia="Times New Roman" w:hAnsi="Calibri" w:cs="Times New Roman"/>
      <w:lang w:eastAsia="hr-HR"/>
    </w:rPr>
  </w:style>
  <w:style w:type="character" w:styleId="PageNumber">
    <w:name w:val="page number"/>
    <w:basedOn w:val="DefaultParagraphFont"/>
    <w:rsid w:val="003A09B6"/>
  </w:style>
  <w:style w:type="paragraph" w:styleId="TOC1">
    <w:name w:val="toc 1"/>
    <w:basedOn w:val="Normal"/>
    <w:next w:val="Normal"/>
    <w:autoRedefine/>
    <w:uiPriority w:val="39"/>
    <w:rsid w:val="003A09B6"/>
    <w:pPr>
      <w:tabs>
        <w:tab w:val="left" w:pos="440"/>
        <w:tab w:val="right" w:leader="dot" w:pos="9639"/>
      </w:tabs>
    </w:pPr>
    <w:rPr>
      <w:rFonts w:cs="Calibri"/>
      <w:b/>
      <w:noProof/>
    </w:rPr>
  </w:style>
  <w:style w:type="paragraph" w:styleId="ListParagraph">
    <w:name w:val="List Paragraph"/>
    <w:basedOn w:val="Normal"/>
    <w:uiPriority w:val="34"/>
    <w:qFormat/>
    <w:rsid w:val="003A09B6"/>
    <w:pPr>
      <w:ind w:left="720"/>
      <w:contextualSpacing/>
    </w:pPr>
  </w:style>
  <w:style w:type="paragraph" w:styleId="NormalWeb">
    <w:name w:val="Normal (Web)"/>
    <w:basedOn w:val="Normal"/>
    <w:uiPriority w:val="99"/>
    <w:semiHidden/>
    <w:unhideWhenUsed/>
    <w:rsid w:val="004E6528"/>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qFormat/>
    <w:rsid w:val="00492C86"/>
    <w:rPr>
      <w:b/>
      <w:bCs/>
    </w:rPr>
  </w:style>
  <w:style w:type="character" w:customStyle="1" w:styleId="Heading3Char">
    <w:name w:val="Heading 3 Char"/>
    <w:basedOn w:val="DefaultParagraphFont"/>
    <w:link w:val="Heading3"/>
    <w:uiPriority w:val="9"/>
    <w:semiHidden/>
    <w:rsid w:val="001D7BAF"/>
    <w:rPr>
      <w:rFonts w:asciiTheme="majorHAnsi" w:eastAsiaTheme="majorEastAsia" w:hAnsiTheme="majorHAnsi" w:cstheme="majorBidi"/>
      <w:color w:val="1F3763" w:themeColor="accent1" w:themeShade="7F"/>
      <w:sz w:val="24"/>
      <w:szCs w:val="24"/>
      <w:lang w:eastAsia="hr-HR"/>
    </w:rPr>
  </w:style>
  <w:style w:type="paragraph" w:customStyle="1" w:styleId="Default">
    <w:name w:val="Default"/>
    <w:basedOn w:val="Normal"/>
    <w:rsid w:val="007713C7"/>
    <w:pPr>
      <w:autoSpaceDE w:val="0"/>
      <w:autoSpaceDN w:val="0"/>
      <w:spacing w:after="0" w:line="240" w:lineRule="auto"/>
    </w:pPr>
    <w:rPr>
      <w:rFonts w:ascii="Georgia" w:eastAsia="Calibri" w:hAnsi="Georgia"/>
      <w:color w:val="000000"/>
      <w:sz w:val="24"/>
      <w:szCs w:val="24"/>
      <w:lang w:eastAsia="en-US"/>
    </w:rPr>
  </w:style>
  <w:style w:type="character" w:customStyle="1" w:styleId="Heading2Char">
    <w:name w:val="Heading 2 Char"/>
    <w:basedOn w:val="DefaultParagraphFont"/>
    <w:link w:val="Heading2"/>
    <w:rsid w:val="001B1434"/>
    <w:rPr>
      <w:rFonts w:asciiTheme="majorHAnsi" w:eastAsiaTheme="majorEastAsia" w:hAnsiTheme="majorHAnsi" w:cstheme="majorBidi"/>
      <w:color w:val="2F5496" w:themeColor="accent1" w:themeShade="BF"/>
      <w:sz w:val="26"/>
      <w:szCs w:val="26"/>
      <w:lang w:eastAsia="hr-HR"/>
    </w:rPr>
  </w:style>
  <w:style w:type="paragraph" w:styleId="BodyText3">
    <w:name w:val="Body Text 3"/>
    <w:basedOn w:val="Normal"/>
    <w:link w:val="BodyText3Char"/>
    <w:rsid w:val="001B1434"/>
    <w:pPr>
      <w:tabs>
        <w:tab w:val="left" w:pos="284"/>
        <w:tab w:val="left" w:pos="567"/>
        <w:tab w:val="right" w:pos="9356"/>
      </w:tabs>
      <w:spacing w:after="0" w:line="240" w:lineRule="auto"/>
      <w:ind w:right="-142"/>
      <w:jc w:val="both"/>
    </w:pPr>
    <w:rPr>
      <w:rFonts w:ascii="Cambria" w:eastAsia="Tahoma" w:hAnsi="Cambria"/>
      <w:szCs w:val="20"/>
      <w:lang w:val="de-DE" w:eastAsia="x-none"/>
    </w:rPr>
  </w:style>
  <w:style w:type="character" w:customStyle="1" w:styleId="BodyText3Char">
    <w:name w:val="Body Text 3 Char"/>
    <w:basedOn w:val="DefaultParagraphFont"/>
    <w:link w:val="BodyText3"/>
    <w:rsid w:val="001B1434"/>
    <w:rPr>
      <w:rFonts w:ascii="Cambria" w:eastAsia="Tahoma" w:hAnsi="Cambria" w:cs="Times New Roman"/>
      <w:szCs w:val="20"/>
      <w:lang w:val="de-DE" w:eastAsia="x-none"/>
    </w:rPr>
  </w:style>
  <w:style w:type="character" w:styleId="Emphasis">
    <w:name w:val="Emphasis"/>
    <w:qFormat/>
    <w:rsid w:val="001B1434"/>
    <w:rPr>
      <w:i/>
      <w:iCs/>
    </w:rPr>
  </w:style>
  <w:style w:type="numbering" w:customStyle="1" w:styleId="WWNum145">
    <w:name w:val="WWNum145"/>
    <w:basedOn w:val="NoList"/>
    <w:rsid w:val="001B1434"/>
    <w:pPr>
      <w:numPr>
        <w:numId w:val="6"/>
      </w:numPr>
    </w:pPr>
  </w:style>
  <w:style w:type="paragraph" w:styleId="TOC2">
    <w:name w:val="toc 2"/>
    <w:basedOn w:val="Normal"/>
    <w:next w:val="Normal"/>
    <w:autoRedefine/>
    <w:uiPriority w:val="39"/>
    <w:unhideWhenUsed/>
    <w:rsid w:val="000C281D"/>
    <w:pPr>
      <w:spacing w:after="100"/>
      <w:ind w:left="220"/>
    </w:pPr>
  </w:style>
  <w:style w:type="paragraph" w:styleId="BalloonText">
    <w:name w:val="Balloon Text"/>
    <w:basedOn w:val="Normal"/>
    <w:link w:val="BalloonTextChar"/>
    <w:uiPriority w:val="99"/>
    <w:semiHidden/>
    <w:unhideWhenUsed/>
    <w:rsid w:val="00E10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7A4"/>
    <w:rPr>
      <w:rFonts w:ascii="Segoe UI" w:eastAsia="Times New Roman" w:hAnsi="Segoe UI" w:cs="Segoe UI"/>
      <w:sz w:val="18"/>
      <w:szCs w:val="18"/>
      <w:lang w:eastAsia="hr-HR"/>
    </w:rPr>
  </w:style>
  <w:style w:type="table" w:styleId="TableGrid">
    <w:name w:val="Table Grid"/>
    <w:basedOn w:val="TableNormal"/>
    <w:uiPriority w:val="39"/>
    <w:rsid w:val="0022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220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220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2-Accent5">
    <w:name w:val="Grid Table 2 Accent 5"/>
    <w:basedOn w:val="TableNormal"/>
    <w:uiPriority w:val="47"/>
    <w:rsid w:val="00220B0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20B0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220B0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1Light-Accent1">
    <w:name w:val="Grid Table 1 Light Accent 1"/>
    <w:basedOn w:val="TableNormal"/>
    <w:uiPriority w:val="46"/>
    <w:rsid w:val="00220B0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406">
      <w:bodyDiv w:val="1"/>
      <w:marLeft w:val="0"/>
      <w:marRight w:val="0"/>
      <w:marTop w:val="0"/>
      <w:marBottom w:val="0"/>
      <w:divBdr>
        <w:top w:val="none" w:sz="0" w:space="0" w:color="auto"/>
        <w:left w:val="none" w:sz="0" w:space="0" w:color="auto"/>
        <w:bottom w:val="none" w:sz="0" w:space="0" w:color="auto"/>
        <w:right w:val="none" w:sz="0" w:space="0" w:color="auto"/>
      </w:divBdr>
    </w:div>
    <w:div w:id="75640317">
      <w:bodyDiv w:val="1"/>
      <w:marLeft w:val="0"/>
      <w:marRight w:val="0"/>
      <w:marTop w:val="0"/>
      <w:marBottom w:val="0"/>
      <w:divBdr>
        <w:top w:val="none" w:sz="0" w:space="0" w:color="auto"/>
        <w:left w:val="none" w:sz="0" w:space="0" w:color="auto"/>
        <w:bottom w:val="none" w:sz="0" w:space="0" w:color="auto"/>
        <w:right w:val="none" w:sz="0" w:space="0" w:color="auto"/>
      </w:divBdr>
    </w:div>
    <w:div w:id="97220118">
      <w:bodyDiv w:val="1"/>
      <w:marLeft w:val="0"/>
      <w:marRight w:val="0"/>
      <w:marTop w:val="0"/>
      <w:marBottom w:val="0"/>
      <w:divBdr>
        <w:top w:val="none" w:sz="0" w:space="0" w:color="auto"/>
        <w:left w:val="none" w:sz="0" w:space="0" w:color="auto"/>
        <w:bottom w:val="none" w:sz="0" w:space="0" w:color="auto"/>
        <w:right w:val="none" w:sz="0" w:space="0" w:color="auto"/>
      </w:divBdr>
      <w:divsChild>
        <w:div w:id="864757040">
          <w:marLeft w:val="0"/>
          <w:marRight w:val="0"/>
          <w:marTop w:val="0"/>
          <w:marBottom w:val="0"/>
          <w:divBdr>
            <w:top w:val="none" w:sz="0" w:space="0" w:color="auto"/>
            <w:left w:val="none" w:sz="0" w:space="0" w:color="auto"/>
            <w:bottom w:val="none" w:sz="0" w:space="0" w:color="auto"/>
            <w:right w:val="none" w:sz="0" w:space="0" w:color="auto"/>
          </w:divBdr>
          <w:divsChild>
            <w:div w:id="1329745430">
              <w:marLeft w:val="0"/>
              <w:marRight w:val="0"/>
              <w:marTop w:val="150"/>
              <w:marBottom w:val="0"/>
              <w:divBdr>
                <w:top w:val="none" w:sz="0" w:space="0" w:color="auto"/>
                <w:left w:val="none" w:sz="0" w:space="0" w:color="auto"/>
                <w:bottom w:val="none" w:sz="0" w:space="0" w:color="auto"/>
                <w:right w:val="none" w:sz="0" w:space="0" w:color="auto"/>
              </w:divBdr>
            </w:div>
          </w:divsChild>
        </w:div>
        <w:div w:id="1455170576">
          <w:marLeft w:val="0"/>
          <w:marRight w:val="0"/>
          <w:marTop w:val="0"/>
          <w:marBottom w:val="0"/>
          <w:divBdr>
            <w:top w:val="none" w:sz="0" w:space="0" w:color="auto"/>
            <w:left w:val="none" w:sz="0" w:space="0" w:color="auto"/>
            <w:bottom w:val="none" w:sz="0" w:space="0" w:color="auto"/>
            <w:right w:val="none" w:sz="0" w:space="0" w:color="auto"/>
          </w:divBdr>
          <w:divsChild>
            <w:div w:id="134874748">
              <w:marLeft w:val="0"/>
              <w:marRight w:val="0"/>
              <w:marTop w:val="150"/>
              <w:marBottom w:val="0"/>
              <w:divBdr>
                <w:top w:val="none" w:sz="0" w:space="0" w:color="auto"/>
                <w:left w:val="none" w:sz="0" w:space="0" w:color="auto"/>
                <w:bottom w:val="none" w:sz="0" w:space="0" w:color="auto"/>
                <w:right w:val="none" w:sz="0" w:space="0" w:color="auto"/>
              </w:divBdr>
            </w:div>
          </w:divsChild>
        </w:div>
        <w:div w:id="1798839691">
          <w:marLeft w:val="0"/>
          <w:marRight w:val="0"/>
          <w:marTop w:val="0"/>
          <w:marBottom w:val="0"/>
          <w:divBdr>
            <w:top w:val="none" w:sz="0" w:space="0" w:color="auto"/>
            <w:left w:val="none" w:sz="0" w:space="0" w:color="auto"/>
            <w:bottom w:val="none" w:sz="0" w:space="0" w:color="auto"/>
            <w:right w:val="none" w:sz="0" w:space="0" w:color="auto"/>
          </w:divBdr>
          <w:divsChild>
            <w:div w:id="8771662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1970777">
      <w:bodyDiv w:val="1"/>
      <w:marLeft w:val="0"/>
      <w:marRight w:val="0"/>
      <w:marTop w:val="0"/>
      <w:marBottom w:val="0"/>
      <w:divBdr>
        <w:top w:val="none" w:sz="0" w:space="0" w:color="auto"/>
        <w:left w:val="none" w:sz="0" w:space="0" w:color="auto"/>
        <w:bottom w:val="none" w:sz="0" w:space="0" w:color="auto"/>
        <w:right w:val="none" w:sz="0" w:space="0" w:color="auto"/>
      </w:divBdr>
      <w:divsChild>
        <w:div w:id="2103256767">
          <w:marLeft w:val="0"/>
          <w:marRight w:val="0"/>
          <w:marTop w:val="150"/>
          <w:marBottom w:val="0"/>
          <w:divBdr>
            <w:top w:val="none" w:sz="0" w:space="0" w:color="auto"/>
            <w:left w:val="none" w:sz="0" w:space="0" w:color="auto"/>
            <w:bottom w:val="none" w:sz="0" w:space="0" w:color="auto"/>
            <w:right w:val="none" w:sz="0" w:space="0" w:color="auto"/>
          </w:divBdr>
          <w:divsChild>
            <w:div w:id="79453704">
              <w:marLeft w:val="0"/>
              <w:marRight w:val="0"/>
              <w:marTop w:val="0"/>
              <w:marBottom w:val="0"/>
              <w:divBdr>
                <w:top w:val="none" w:sz="0" w:space="0" w:color="auto"/>
                <w:left w:val="none" w:sz="0" w:space="0" w:color="auto"/>
                <w:bottom w:val="none" w:sz="0" w:space="0" w:color="auto"/>
                <w:right w:val="none" w:sz="0" w:space="0" w:color="auto"/>
              </w:divBdr>
            </w:div>
            <w:div w:id="105007320">
              <w:marLeft w:val="0"/>
              <w:marRight w:val="0"/>
              <w:marTop w:val="0"/>
              <w:marBottom w:val="0"/>
              <w:divBdr>
                <w:top w:val="none" w:sz="0" w:space="0" w:color="auto"/>
                <w:left w:val="none" w:sz="0" w:space="0" w:color="auto"/>
                <w:bottom w:val="none" w:sz="0" w:space="0" w:color="auto"/>
                <w:right w:val="none" w:sz="0" w:space="0" w:color="auto"/>
              </w:divBdr>
            </w:div>
            <w:div w:id="203107239">
              <w:marLeft w:val="0"/>
              <w:marRight w:val="0"/>
              <w:marTop w:val="0"/>
              <w:marBottom w:val="0"/>
              <w:divBdr>
                <w:top w:val="none" w:sz="0" w:space="0" w:color="auto"/>
                <w:left w:val="none" w:sz="0" w:space="0" w:color="auto"/>
                <w:bottom w:val="none" w:sz="0" w:space="0" w:color="auto"/>
                <w:right w:val="none" w:sz="0" w:space="0" w:color="auto"/>
              </w:divBdr>
            </w:div>
            <w:div w:id="576207028">
              <w:marLeft w:val="0"/>
              <w:marRight w:val="0"/>
              <w:marTop w:val="0"/>
              <w:marBottom w:val="0"/>
              <w:divBdr>
                <w:top w:val="none" w:sz="0" w:space="0" w:color="auto"/>
                <w:left w:val="none" w:sz="0" w:space="0" w:color="auto"/>
                <w:bottom w:val="none" w:sz="0" w:space="0" w:color="auto"/>
                <w:right w:val="none" w:sz="0" w:space="0" w:color="auto"/>
              </w:divBdr>
            </w:div>
            <w:div w:id="776676912">
              <w:marLeft w:val="0"/>
              <w:marRight w:val="0"/>
              <w:marTop w:val="0"/>
              <w:marBottom w:val="0"/>
              <w:divBdr>
                <w:top w:val="none" w:sz="0" w:space="0" w:color="auto"/>
                <w:left w:val="none" w:sz="0" w:space="0" w:color="auto"/>
                <w:bottom w:val="none" w:sz="0" w:space="0" w:color="auto"/>
                <w:right w:val="none" w:sz="0" w:space="0" w:color="auto"/>
              </w:divBdr>
            </w:div>
            <w:div w:id="1081290445">
              <w:marLeft w:val="0"/>
              <w:marRight w:val="0"/>
              <w:marTop w:val="0"/>
              <w:marBottom w:val="0"/>
              <w:divBdr>
                <w:top w:val="none" w:sz="0" w:space="0" w:color="auto"/>
                <w:left w:val="none" w:sz="0" w:space="0" w:color="auto"/>
                <w:bottom w:val="none" w:sz="0" w:space="0" w:color="auto"/>
                <w:right w:val="none" w:sz="0" w:space="0" w:color="auto"/>
              </w:divBdr>
            </w:div>
            <w:div w:id="17660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34767">
      <w:bodyDiv w:val="1"/>
      <w:marLeft w:val="0"/>
      <w:marRight w:val="0"/>
      <w:marTop w:val="0"/>
      <w:marBottom w:val="0"/>
      <w:divBdr>
        <w:top w:val="none" w:sz="0" w:space="0" w:color="auto"/>
        <w:left w:val="none" w:sz="0" w:space="0" w:color="auto"/>
        <w:bottom w:val="none" w:sz="0" w:space="0" w:color="auto"/>
        <w:right w:val="none" w:sz="0" w:space="0" w:color="auto"/>
      </w:divBdr>
    </w:div>
    <w:div w:id="277026037">
      <w:bodyDiv w:val="1"/>
      <w:marLeft w:val="0"/>
      <w:marRight w:val="0"/>
      <w:marTop w:val="0"/>
      <w:marBottom w:val="0"/>
      <w:divBdr>
        <w:top w:val="none" w:sz="0" w:space="0" w:color="auto"/>
        <w:left w:val="none" w:sz="0" w:space="0" w:color="auto"/>
        <w:bottom w:val="none" w:sz="0" w:space="0" w:color="auto"/>
        <w:right w:val="none" w:sz="0" w:space="0" w:color="auto"/>
      </w:divBdr>
    </w:div>
    <w:div w:id="301927065">
      <w:bodyDiv w:val="1"/>
      <w:marLeft w:val="0"/>
      <w:marRight w:val="0"/>
      <w:marTop w:val="0"/>
      <w:marBottom w:val="0"/>
      <w:divBdr>
        <w:top w:val="none" w:sz="0" w:space="0" w:color="auto"/>
        <w:left w:val="none" w:sz="0" w:space="0" w:color="auto"/>
        <w:bottom w:val="none" w:sz="0" w:space="0" w:color="auto"/>
        <w:right w:val="none" w:sz="0" w:space="0" w:color="auto"/>
      </w:divBdr>
    </w:div>
    <w:div w:id="310717198">
      <w:bodyDiv w:val="1"/>
      <w:marLeft w:val="0"/>
      <w:marRight w:val="0"/>
      <w:marTop w:val="0"/>
      <w:marBottom w:val="0"/>
      <w:divBdr>
        <w:top w:val="none" w:sz="0" w:space="0" w:color="auto"/>
        <w:left w:val="none" w:sz="0" w:space="0" w:color="auto"/>
        <w:bottom w:val="none" w:sz="0" w:space="0" w:color="auto"/>
        <w:right w:val="none" w:sz="0" w:space="0" w:color="auto"/>
      </w:divBdr>
    </w:div>
    <w:div w:id="411439293">
      <w:bodyDiv w:val="1"/>
      <w:marLeft w:val="0"/>
      <w:marRight w:val="0"/>
      <w:marTop w:val="0"/>
      <w:marBottom w:val="0"/>
      <w:divBdr>
        <w:top w:val="none" w:sz="0" w:space="0" w:color="auto"/>
        <w:left w:val="none" w:sz="0" w:space="0" w:color="auto"/>
        <w:bottom w:val="none" w:sz="0" w:space="0" w:color="auto"/>
        <w:right w:val="none" w:sz="0" w:space="0" w:color="auto"/>
      </w:divBdr>
    </w:div>
    <w:div w:id="467357516">
      <w:bodyDiv w:val="1"/>
      <w:marLeft w:val="0"/>
      <w:marRight w:val="0"/>
      <w:marTop w:val="0"/>
      <w:marBottom w:val="0"/>
      <w:divBdr>
        <w:top w:val="none" w:sz="0" w:space="0" w:color="auto"/>
        <w:left w:val="none" w:sz="0" w:space="0" w:color="auto"/>
        <w:bottom w:val="none" w:sz="0" w:space="0" w:color="auto"/>
        <w:right w:val="none" w:sz="0" w:space="0" w:color="auto"/>
      </w:divBdr>
    </w:div>
    <w:div w:id="473762042">
      <w:bodyDiv w:val="1"/>
      <w:marLeft w:val="0"/>
      <w:marRight w:val="0"/>
      <w:marTop w:val="0"/>
      <w:marBottom w:val="0"/>
      <w:divBdr>
        <w:top w:val="none" w:sz="0" w:space="0" w:color="auto"/>
        <w:left w:val="none" w:sz="0" w:space="0" w:color="auto"/>
        <w:bottom w:val="none" w:sz="0" w:space="0" w:color="auto"/>
        <w:right w:val="none" w:sz="0" w:space="0" w:color="auto"/>
      </w:divBdr>
    </w:div>
    <w:div w:id="524057216">
      <w:bodyDiv w:val="1"/>
      <w:marLeft w:val="0"/>
      <w:marRight w:val="0"/>
      <w:marTop w:val="0"/>
      <w:marBottom w:val="0"/>
      <w:divBdr>
        <w:top w:val="none" w:sz="0" w:space="0" w:color="auto"/>
        <w:left w:val="none" w:sz="0" w:space="0" w:color="auto"/>
        <w:bottom w:val="none" w:sz="0" w:space="0" w:color="auto"/>
        <w:right w:val="none" w:sz="0" w:space="0" w:color="auto"/>
      </w:divBdr>
    </w:div>
    <w:div w:id="636179091">
      <w:bodyDiv w:val="1"/>
      <w:marLeft w:val="0"/>
      <w:marRight w:val="0"/>
      <w:marTop w:val="0"/>
      <w:marBottom w:val="0"/>
      <w:divBdr>
        <w:top w:val="none" w:sz="0" w:space="0" w:color="auto"/>
        <w:left w:val="none" w:sz="0" w:space="0" w:color="auto"/>
        <w:bottom w:val="none" w:sz="0" w:space="0" w:color="auto"/>
        <w:right w:val="none" w:sz="0" w:space="0" w:color="auto"/>
      </w:divBdr>
    </w:div>
    <w:div w:id="652373260">
      <w:bodyDiv w:val="1"/>
      <w:marLeft w:val="0"/>
      <w:marRight w:val="0"/>
      <w:marTop w:val="0"/>
      <w:marBottom w:val="0"/>
      <w:divBdr>
        <w:top w:val="none" w:sz="0" w:space="0" w:color="auto"/>
        <w:left w:val="none" w:sz="0" w:space="0" w:color="auto"/>
        <w:bottom w:val="none" w:sz="0" w:space="0" w:color="auto"/>
        <w:right w:val="none" w:sz="0" w:space="0" w:color="auto"/>
      </w:divBdr>
    </w:div>
    <w:div w:id="656684865">
      <w:bodyDiv w:val="1"/>
      <w:marLeft w:val="0"/>
      <w:marRight w:val="0"/>
      <w:marTop w:val="0"/>
      <w:marBottom w:val="0"/>
      <w:divBdr>
        <w:top w:val="none" w:sz="0" w:space="0" w:color="auto"/>
        <w:left w:val="none" w:sz="0" w:space="0" w:color="auto"/>
        <w:bottom w:val="none" w:sz="0" w:space="0" w:color="auto"/>
        <w:right w:val="none" w:sz="0" w:space="0" w:color="auto"/>
      </w:divBdr>
    </w:div>
    <w:div w:id="666203042">
      <w:bodyDiv w:val="1"/>
      <w:marLeft w:val="0"/>
      <w:marRight w:val="0"/>
      <w:marTop w:val="0"/>
      <w:marBottom w:val="0"/>
      <w:divBdr>
        <w:top w:val="none" w:sz="0" w:space="0" w:color="auto"/>
        <w:left w:val="none" w:sz="0" w:space="0" w:color="auto"/>
        <w:bottom w:val="none" w:sz="0" w:space="0" w:color="auto"/>
        <w:right w:val="none" w:sz="0" w:space="0" w:color="auto"/>
      </w:divBdr>
    </w:div>
    <w:div w:id="763040438">
      <w:bodyDiv w:val="1"/>
      <w:marLeft w:val="0"/>
      <w:marRight w:val="0"/>
      <w:marTop w:val="0"/>
      <w:marBottom w:val="0"/>
      <w:divBdr>
        <w:top w:val="none" w:sz="0" w:space="0" w:color="auto"/>
        <w:left w:val="none" w:sz="0" w:space="0" w:color="auto"/>
        <w:bottom w:val="none" w:sz="0" w:space="0" w:color="auto"/>
        <w:right w:val="none" w:sz="0" w:space="0" w:color="auto"/>
      </w:divBdr>
    </w:div>
    <w:div w:id="787969851">
      <w:bodyDiv w:val="1"/>
      <w:marLeft w:val="0"/>
      <w:marRight w:val="0"/>
      <w:marTop w:val="0"/>
      <w:marBottom w:val="0"/>
      <w:divBdr>
        <w:top w:val="none" w:sz="0" w:space="0" w:color="auto"/>
        <w:left w:val="none" w:sz="0" w:space="0" w:color="auto"/>
        <w:bottom w:val="none" w:sz="0" w:space="0" w:color="auto"/>
        <w:right w:val="none" w:sz="0" w:space="0" w:color="auto"/>
      </w:divBdr>
    </w:div>
    <w:div w:id="800683798">
      <w:bodyDiv w:val="1"/>
      <w:marLeft w:val="0"/>
      <w:marRight w:val="0"/>
      <w:marTop w:val="0"/>
      <w:marBottom w:val="0"/>
      <w:divBdr>
        <w:top w:val="none" w:sz="0" w:space="0" w:color="auto"/>
        <w:left w:val="none" w:sz="0" w:space="0" w:color="auto"/>
        <w:bottom w:val="none" w:sz="0" w:space="0" w:color="auto"/>
        <w:right w:val="none" w:sz="0" w:space="0" w:color="auto"/>
      </w:divBdr>
    </w:div>
    <w:div w:id="809174298">
      <w:bodyDiv w:val="1"/>
      <w:marLeft w:val="0"/>
      <w:marRight w:val="0"/>
      <w:marTop w:val="0"/>
      <w:marBottom w:val="0"/>
      <w:divBdr>
        <w:top w:val="none" w:sz="0" w:space="0" w:color="auto"/>
        <w:left w:val="none" w:sz="0" w:space="0" w:color="auto"/>
        <w:bottom w:val="none" w:sz="0" w:space="0" w:color="auto"/>
        <w:right w:val="none" w:sz="0" w:space="0" w:color="auto"/>
      </w:divBdr>
    </w:div>
    <w:div w:id="834995994">
      <w:bodyDiv w:val="1"/>
      <w:marLeft w:val="0"/>
      <w:marRight w:val="0"/>
      <w:marTop w:val="0"/>
      <w:marBottom w:val="0"/>
      <w:divBdr>
        <w:top w:val="none" w:sz="0" w:space="0" w:color="auto"/>
        <w:left w:val="none" w:sz="0" w:space="0" w:color="auto"/>
        <w:bottom w:val="none" w:sz="0" w:space="0" w:color="auto"/>
        <w:right w:val="none" w:sz="0" w:space="0" w:color="auto"/>
      </w:divBdr>
      <w:divsChild>
        <w:div w:id="525143082">
          <w:marLeft w:val="274"/>
          <w:marRight w:val="0"/>
          <w:marTop w:val="120"/>
          <w:marBottom w:val="0"/>
          <w:divBdr>
            <w:top w:val="none" w:sz="0" w:space="0" w:color="auto"/>
            <w:left w:val="none" w:sz="0" w:space="0" w:color="auto"/>
            <w:bottom w:val="none" w:sz="0" w:space="0" w:color="auto"/>
            <w:right w:val="none" w:sz="0" w:space="0" w:color="auto"/>
          </w:divBdr>
        </w:div>
        <w:div w:id="921791533">
          <w:marLeft w:val="288"/>
          <w:marRight w:val="0"/>
          <w:marTop w:val="120"/>
          <w:marBottom w:val="0"/>
          <w:divBdr>
            <w:top w:val="none" w:sz="0" w:space="0" w:color="auto"/>
            <w:left w:val="none" w:sz="0" w:space="0" w:color="auto"/>
            <w:bottom w:val="none" w:sz="0" w:space="0" w:color="auto"/>
            <w:right w:val="none" w:sz="0" w:space="0" w:color="auto"/>
          </w:divBdr>
        </w:div>
        <w:div w:id="928268359">
          <w:marLeft w:val="288"/>
          <w:marRight w:val="0"/>
          <w:marTop w:val="120"/>
          <w:marBottom w:val="0"/>
          <w:divBdr>
            <w:top w:val="none" w:sz="0" w:space="0" w:color="auto"/>
            <w:left w:val="none" w:sz="0" w:space="0" w:color="auto"/>
            <w:bottom w:val="none" w:sz="0" w:space="0" w:color="auto"/>
            <w:right w:val="none" w:sz="0" w:space="0" w:color="auto"/>
          </w:divBdr>
        </w:div>
        <w:div w:id="940841272">
          <w:marLeft w:val="274"/>
          <w:marRight w:val="0"/>
          <w:marTop w:val="120"/>
          <w:marBottom w:val="0"/>
          <w:divBdr>
            <w:top w:val="none" w:sz="0" w:space="0" w:color="auto"/>
            <w:left w:val="none" w:sz="0" w:space="0" w:color="auto"/>
            <w:bottom w:val="none" w:sz="0" w:space="0" w:color="auto"/>
            <w:right w:val="none" w:sz="0" w:space="0" w:color="auto"/>
          </w:divBdr>
        </w:div>
      </w:divsChild>
    </w:div>
    <w:div w:id="845242541">
      <w:bodyDiv w:val="1"/>
      <w:marLeft w:val="0"/>
      <w:marRight w:val="0"/>
      <w:marTop w:val="0"/>
      <w:marBottom w:val="0"/>
      <w:divBdr>
        <w:top w:val="none" w:sz="0" w:space="0" w:color="auto"/>
        <w:left w:val="none" w:sz="0" w:space="0" w:color="auto"/>
        <w:bottom w:val="none" w:sz="0" w:space="0" w:color="auto"/>
        <w:right w:val="none" w:sz="0" w:space="0" w:color="auto"/>
      </w:divBdr>
    </w:div>
    <w:div w:id="865630858">
      <w:bodyDiv w:val="1"/>
      <w:marLeft w:val="0"/>
      <w:marRight w:val="0"/>
      <w:marTop w:val="0"/>
      <w:marBottom w:val="0"/>
      <w:divBdr>
        <w:top w:val="none" w:sz="0" w:space="0" w:color="auto"/>
        <w:left w:val="none" w:sz="0" w:space="0" w:color="auto"/>
        <w:bottom w:val="none" w:sz="0" w:space="0" w:color="auto"/>
        <w:right w:val="none" w:sz="0" w:space="0" w:color="auto"/>
      </w:divBdr>
    </w:div>
    <w:div w:id="868373381">
      <w:bodyDiv w:val="1"/>
      <w:marLeft w:val="0"/>
      <w:marRight w:val="0"/>
      <w:marTop w:val="0"/>
      <w:marBottom w:val="0"/>
      <w:divBdr>
        <w:top w:val="none" w:sz="0" w:space="0" w:color="auto"/>
        <w:left w:val="none" w:sz="0" w:space="0" w:color="auto"/>
        <w:bottom w:val="none" w:sz="0" w:space="0" w:color="auto"/>
        <w:right w:val="none" w:sz="0" w:space="0" w:color="auto"/>
      </w:divBdr>
    </w:div>
    <w:div w:id="886571765">
      <w:bodyDiv w:val="1"/>
      <w:marLeft w:val="0"/>
      <w:marRight w:val="0"/>
      <w:marTop w:val="0"/>
      <w:marBottom w:val="0"/>
      <w:divBdr>
        <w:top w:val="none" w:sz="0" w:space="0" w:color="auto"/>
        <w:left w:val="none" w:sz="0" w:space="0" w:color="auto"/>
        <w:bottom w:val="none" w:sz="0" w:space="0" w:color="auto"/>
        <w:right w:val="none" w:sz="0" w:space="0" w:color="auto"/>
      </w:divBdr>
    </w:div>
    <w:div w:id="909579085">
      <w:bodyDiv w:val="1"/>
      <w:marLeft w:val="0"/>
      <w:marRight w:val="0"/>
      <w:marTop w:val="0"/>
      <w:marBottom w:val="0"/>
      <w:divBdr>
        <w:top w:val="none" w:sz="0" w:space="0" w:color="auto"/>
        <w:left w:val="none" w:sz="0" w:space="0" w:color="auto"/>
        <w:bottom w:val="none" w:sz="0" w:space="0" w:color="auto"/>
        <w:right w:val="none" w:sz="0" w:space="0" w:color="auto"/>
      </w:divBdr>
    </w:div>
    <w:div w:id="1018697872">
      <w:bodyDiv w:val="1"/>
      <w:marLeft w:val="0"/>
      <w:marRight w:val="0"/>
      <w:marTop w:val="0"/>
      <w:marBottom w:val="0"/>
      <w:divBdr>
        <w:top w:val="none" w:sz="0" w:space="0" w:color="auto"/>
        <w:left w:val="none" w:sz="0" w:space="0" w:color="auto"/>
        <w:bottom w:val="none" w:sz="0" w:space="0" w:color="auto"/>
        <w:right w:val="none" w:sz="0" w:space="0" w:color="auto"/>
      </w:divBdr>
    </w:div>
    <w:div w:id="1037389965">
      <w:bodyDiv w:val="1"/>
      <w:marLeft w:val="0"/>
      <w:marRight w:val="0"/>
      <w:marTop w:val="0"/>
      <w:marBottom w:val="0"/>
      <w:divBdr>
        <w:top w:val="none" w:sz="0" w:space="0" w:color="auto"/>
        <w:left w:val="none" w:sz="0" w:space="0" w:color="auto"/>
        <w:bottom w:val="none" w:sz="0" w:space="0" w:color="auto"/>
        <w:right w:val="none" w:sz="0" w:space="0" w:color="auto"/>
      </w:divBdr>
    </w:div>
    <w:div w:id="1060667195">
      <w:bodyDiv w:val="1"/>
      <w:marLeft w:val="0"/>
      <w:marRight w:val="0"/>
      <w:marTop w:val="0"/>
      <w:marBottom w:val="0"/>
      <w:divBdr>
        <w:top w:val="none" w:sz="0" w:space="0" w:color="auto"/>
        <w:left w:val="none" w:sz="0" w:space="0" w:color="auto"/>
        <w:bottom w:val="none" w:sz="0" w:space="0" w:color="auto"/>
        <w:right w:val="none" w:sz="0" w:space="0" w:color="auto"/>
      </w:divBdr>
    </w:div>
    <w:div w:id="1100639954">
      <w:bodyDiv w:val="1"/>
      <w:marLeft w:val="0"/>
      <w:marRight w:val="0"/>
      <w:marTop w:val="0"/>
      <w:marBottom w:val="0"/>
      <w:divBdr>
        <w:top w:val="none" w:sz="0" w:space="0" w:color="auto"/>
        <w:left w:val="none" w:sz="0" w:space="0" w:color="auto"/>
        <w:bottom w:val="none" w:sz="0" w:space="0" w:color="auto"/>
        <w:right w:val="none" w:sz="0" w:space="0" w:color="auto"/>
      </w:divBdr>
    </w:div>
    <w:div w:id="1165164605">
      <w:bodyDiv w:val="1"/>
      <w:marLeft w:val="0"/>
      <w:marRight w:val="0"/>
      <w:marTop w:val="0"/>
      <w:marBottom w:val="0"/>
      <w:divBdr>
        <w:top w:val="none" w:sz="0" w:space="0" w:color="auto"/>
        <w:left w:val="none" w:sz="0" w:space="0" w:color="auto"/>
        <w:bottom w:val="none" w:sz="0" w:space="0" w:color="auto"/>
        <w:right w:val="none" w:sz="0" w:space="0" w:color="auto"/>
      </w:divBdr>
    </w:div>
    <w:div w:id="1219439084">
      <w:bodyDiv w:val="1"/>
      <w:marLeft w:val="0"/>
      <w:marRight w:val="0"/>
      <w:marTop w:val="0"/>
      <w:marBottom w:val="0"/>
      <w:divBdr>
        <w:top w:val="none" w:sz="0" w:space="0" w:color="auto"/>
        <w:left w:val="none" w:sz="0" w:space="0" w:color="auto"/>
        <w:bottom w:val="none" w:sz="0" w:space="0" w:color="auto"/>
        <w:right w:val="none" w:sz="0" w:space="0" w:color="auto"/>
      </w:divBdr>
    </w:div>
    <w:div w:id="1287589697">
      <w:bodyDiv w:val="1"/>
      <w:marLeft w:val="0"/>
      <w:marRight w:val="0"/>
      <w:marTop w:val="0"/>
      <w:marBottom w:val="0"/>
      <w:divBdr>
        <w:top w:val="none" w:sz="0" w:space="0" w:color="auto"/>
        <w:left w:val="none" w:sz="0" w:space="0" w:color="auto"/>
        <w:bottom w:val="none" w:sz="0" w:space="0" w:color="auto"/>
        <w:right w:val="none" w:sz="0" w:space="0" w:color="auto"/>
      </w:divBdr>
    </w:div>
    <w:div w:id="1296762793">
      <w:bodyDiv w:val="1"/>
      <w:marLeft w:val="0"/>
      <w:marRight w:val="0"/>
      <w:marTop w:val="0"/>
      <w:marBottom w:val="0"/>
      <w:divBdr>
        <w:top w:val="none" w:sz="0" w:space="0" w:color="auto"/>
        <w:left w:val="none" w:sz="0" w:space="0" w:color="auto"/>
        <w:bottom w:val="none" w:sz="0" w:space="0" w:color="auto"/>
        <w:right w:val="none" w:sz="0" w:space="0" w:color="auto"/>
      </w:divBdr>
    </w:div>
    <w:div w:id="1374428899">
      <w:bodyDiv w:val="1"/>
      <w:marLeft w:val="0"/>
      <w:marRight w:val="0"/>
      <w:marTop w:val="0"/>
      <w:marBottom w:val="0"/>
      <w:divBdr>
        <w:top w:val="none" w:sz="0" w:space="0" w:color="auto"/>
        <w:left w:val="none" w:sz="0" w:space="0" w:color="auto"/>
        <w:bottom w:val="none" w:sz="0" w:space="0" w:color="auto"/>
        <w:right w:val="none" w:sz="0" w:space="0" w:color="auto"/>
      </w:divBdr>
    </w:div>
    <w:div w:id="1374882656">
      <w:bodyDiv w:val="1"/>
      <w:marLeft w:val="0"/>
      <w:marRight w:val="0"/>
      <w:marTop w:val="0"/>
      <w:marBottom w:val="0"/>
      <w:divBdr>
        <w:top w:val="none" w:sz="0" w:space="0" w:color="auto"/>
        <w:left w:val="none" w:sz="0" w:space="0" w:color="auto"/>
        <w:bottom w:val="none" w:sz="0" w:space="0" w:color="auto"/>
        <w:right w:val="none" w:sz="0" w:space="0" w:color="auto"/>
      </w:divBdr>
    </w:div>
    <w:div w:id="1423330058">
      <w:bodyDiv w:val="1"/>
      <w:marLeft w:val="0"/>
      <w:marRight w:val="0"/>
      <w:marTop w:val="0"/>
      <w:marBottom w:val="0"/>
      <w:divBdr>
        <w:top w:val="none" w:sz="0" w:space="0" w:color="auto"/>
        <w:left w:val="none" w:sz="0" w:space="0" w:color="auto"/>
        <w:bottom w:val="none" w:sz="0" w:space="0" w:color="auto"/>
        <w:right w:val="none" w:sz="0" w:space="0" w:color="auto"/>
      </w:divBdr>
      <w:divsChild>
        <w:div w:id="366107753">
          <w:marLeft w:val="0"/>
          <w:marRight w:val="0"/>
          <w:marTop w:val="0"/>
          <w:marBottom w:val="0"/>
          <w:divBdr>
            <w:top w:val="none" w:sz="0" w:space="0" w:color="auto"/>
            <w:left w:val="none" w:sz="0" w:space="0" w:color="auto"/>
            <w:bottom w:val="none" w:sz="0" w:space="0" w:color="auto"/>
            <w:right w:val="none" w:sz="0" w:space="0" w:color="auto"/>
          </w:divBdr>
        </w:div>
        <w:div w:id="851917734">
          <w:marLeft w:val="0"/>
          <w:marRight w:val="0"/>
          <w:marTop w:val="0"/>
          <w:marBottom w:val="0"/>
          <w:divBdr>
            <w:top w:val="none" w:sz="0" w:space="0" w:color="auto"/>
            <w:left w:val="none" w:sz="0" w:space="0" w:color="auto"/>
            <w:bottom w:val="none" w:sz="0" w:space="0" w:color="auto"/>
            <w:right w:val="none" w:sz="0" w:space="0" w:color="auto"/>
          </w:divBdr>
        </w:div>
        <w:div w:id="1323585161">
          <w:marLeft w:val="0"/>
          <w:marRight w:val="0"/>
          <w:marTop w:val="0"/>
          <w:marBottom w:val="0"/>
          <w:divBdr>
            <w:top w:val="none" w:sz="0" w:space="0" w:color="auto"/>
            <w:left w:val="none" w:sz="0" w:space="0" w:color="auto"/>
            <w:bottom w:val="none" w:sz="0" w:space="0" w:color="auto"/>
            <w:right w:val="none" w:sz="0" w:space="0" w:color="auto"/>
          </w:divBdr>
        </w:div>
        <w:div w:id="1595358787">
          <w:marLeft w:val="0"/>
          <w:marRight w:val="0"/>
          <w:marTop w:val="0"/>
          <w:marBottom w:val="0"/>
          <w:divBdr>
            <w:top w:val="none" w:sz="0" w:space="0" w:color="auto"/>
            <w:left w:val="none" w:sz="0" w:space="0" w:color="auto"/>
            <w:bottom w:val="none" w:sz="0" w:space="0" w:color="auto"/>
            <w:right w:val="none" w:sz="0" w:space="0" w:color="auto"/>
          </w:divBdr>
        </w:div>
        <w:div w:id="2023895381">
          <w:marLeft w:val="0"/>
          <w:marRight w:val="0"/>
          <w:marTop w:val="0"/>
          <w:marBottom w:val="0"/>
          <w:divBdr>
            <w:top w:val="none" w:sz="0" w:space="0" w:color="auto"/>
            <w:left w:val="none" w:sz="0" w:space="0" w:color="auto"/>
            <w:bottom w:val="none" w:sz="0" w:space="0" w:color="auto"/>
            <w:right w:val="none" w:sz="0" w:space="0" w:color="auto"/>
          </w:divBdr>
        </w:div>
        <w:div w:id="2059668046">
          <w:marLeft w:val="0"/>
          <w:marRight w:val="0"/>
          <w:marTop w:val="0"/>
          <w:marBottom w:val="0"/>
          <w:divBdr>
            <w:top w:val="none" w:sz="0" w:space="0" w:color="auto"/>
            <w:left w:val="none" w:sz="0" w:space="0" w:color="auto"/>
            <w:bottom w:val="none" w:sz="0" w:space="0" w:color="auto"/>
            <w:right w:val="none" w:sz="0" w:space="0" w:color="auto"/>
          </w:divBdr>
        </w:div>
        <w:div w:id="2142720819">
          <w:marLeft w:val="0"/>
          <w:marRight w:val="0"/>
          <w:marTop w:val="0"/>
          <w:marBottom w:val="0"/>
          <w:divBdr>
            <w:top w:val="none" w:sz="0" w:space="0" w:color="auto"/>
            <w:left w:val="none" w:sz="0" w:space="0" w:color="auto"/>
            <w:bottom w:val="none" w:sz="0" w:space="0" w:color="auto"/>
            <w:right w:val="none" w:sz="0" w:space="0" w:color="auto"/>
          </w:divBdr>
        </w:div>
      </w:divsChild>
    </w:div>
    <w:div w:id="1472795674">
      <w:bodyDiv w:val="1"/>
      <w:marLeft w:val="0"/>
      <w:marRight w:val="0"/>
      <w:marTop w:val="0"/>
      <w:marBottom w:val="0"/>
      <w:divBdr>
        <w:top w:val="none" w:sz="0" w:space="0" w:color="auto"/>
        <w:left w:val="none" w:sz="0" w:space="0" w:color="auto"/>
        <w:bottom w:val="none" w:sz="0" w:space="0" w:color="auto"/>
        <w:right w:val="none" w:sz="0" w:space="0" w:color="auto"/>
      </w:divBdr>
    </w:div>
    <w:div w:id="1487892309">
      <w:bodyDiv w:val="1"/>
      <w:marLeft w:val="0"/>
      <w:marRight w:val="0"/>
      <w:marTop w:val="0"/>
      <w:marBottom w:val="0"/>
      <w:divBdr>
        <w:top w:val="none" w:sz="0" w:space="0" w:color="auto"/>
        <w:left w:val="none" w:sz="0" w:space="0" w:color="auto"/>
        <w:bottom w:val="none" w:sz="0" w:space="0" w:color="auto"/>
        <w:right w:val="none" w:sz="0" w:space="0" w:color="auto"/>
      </w:divBdr>
    </w:div>
    <w:div w:id="1559248862">
      <w:bodyDiv w:val="1"/>
      <w:marLeft w:val="0"/>
      <w:marRight w:val="0"/>
      <w:marTop w:val="0"/>
      <w:marBottom w:val="0"/>
      <w:divBdr>
        <w:top w:val="none" w:sz="0" w:space="0" w:color="auto"/>
        <w:left w:val="none" w:sz="0" w:space="0" w:color="auto"/>
        <w:bottom w:val="none" w:sz="0" w:space="0" w:color="auto"/>
        <w:right w:val="none" w:sz="0" w:space="0" w:color="auto"/>
      </w:divBdr>
    </w:div>
    <w:div w:id="1587417863">
      <w:bodyDiv w:val="1"/>
      <w:marLeft w:val="0"/>
      <w:marRight w:val="0"/>
      <w:marTop w:val="0"/>
      <w:marBottom w:val="0"/>
      <w:divBdr>
        <w:top w:val="none" w:sz="0" w:space="0" w:color="auto"/>
        <w:left w:val="none" w:sz="0" w:space="0" w:color="auto"/>
        <w:bottom w:val="none" w:sz="0" w:space="0" w:color="auto"/>
        <w:right w:val="none" w:sz="0" w:space="0" w:color="auto"/>
      </w:divBdr>
    </w:div>
    <w:div w:id="1600020092">
      <w:bodyDiv w:val="1"/>
      <w:marLeft w:val="0"/>
      <w:marRight w:val="0"/>
      <w:marTop w:val="0"/>
      <w:marBottom w:val="0"/>
      <w:divBdr>
        <w:top w:val="none" w:sz="0" w:space="0" w:color="auto"/>
        <w:left w:val="none" w:sz="0" w:space="0" w:color="auto"/>
        <w:bottom w:val="none" w:sz="0" w:space="0" w:color="auto"/>
        <w:right w:val="none" w:sz="0" w:space="0" w:color="auto"/>
      </w:divBdr>
    </w:div>
    <w:div w:id="1623418474">
      <w:bodyDiv w:val="1"/>
      <w:marLeft w:val="0"/>
      <w:marRight w:val="0"/>
      <w:marTop w:val="0"/>
      <w:marBottom w:val="0"/>
      <w:divBdr>
        <w:top w:val="none" w:sz="0" w:space="0" w:color="auto"/>
        <w:left w:val="none" w:sz="0" w:space="0" w:color="auto"/>
        <w:bottom w:val="none" w:sz="0" w:space="0" w:color="auto"/>
        <w:right w:val="none" w:sz="0" w:space="0" w:color="auto"/>
      </w:divBdr>
    </w:div>
    <w:div w:id="1627619209">
      <w:bodyDiv w:val="1"/>
      <w:marLeft w:val="0"/>
      <w:marRight w:val="0"/>
      <w:marTop w:val="0"/>
      <w:marBottom w:val="0"/>
      <w:divBdr>
        <w:top w:val="none" w:sz="0" w:space="0" w:color="auto"/>
        <w:left w:val="none" w:sz="0" w:space="0" w:color="auto"/>
        <w:bottom w:val="none" w:sz="0" w:space="0" w:color="auto"/>
        <w:right w:val="none" w:sz="0" w:space="0" w:color="auto"/>
      </w:divBdr>
    </w:div>
    <w:div w:id="1640183788">
      <w:bodyDiv w:val="1"/>
      <w:marLeft w:val="0"/>
      <w:marRight w:val="0"/>
      <w:marTop w:val="0"/>
      <w:marBottom w:val="0"/>
      <w:divBdr>
        <w:top w:val="none" w:sz="0" w:space="0" w:color="auto"/>
        <w:left w:val="none" w:sz="0" w:space="0" w:color="auto"/>
        <w:bottom w:val="none" w:sz="0" w:space="0" w:color="auto"/>
        <w:right w:val="none" w:sz="0" w:space="0" w:color="auto"/>
      </w:divBdr>
    </w:div>
    <w:div w:id="1698581071">
      <w:bodyDiv w:val="1"/>
      <w:marLeft w:val="0"/>
      <w:marRight w:val="0"/>
      <w:marTop w:val="0"/>
      <w:marBottom w:val="0"/>
      <w:divBdr>
        <w:top w:val="none" w:sz="0" w:space="0" w:color="auto"/>
        <w:left w:val="none" w:sz="0" w:space="0" w:color="auto"/>
        <w:bottom w:val="none" w:sz="0" w:space="0" w:color="auto"/>
        <w:right w:val="none" w:sz="0" w:space="0" w:color="auto"/>
      </w:divBdr>
    </w:div>
    <w:div w:id="1708293880">
      <w:bodyDiv w:val="1"/>
      <w:marLeft w:val="0"/>
      <w:marRight w:val="0"/>
      <w:marTop w:val="0"/>
      <w:marBottom w:val="0"/>
      <w:divBdr>
        <w:top w:val="none" w:sz="0" w:space="0" w:color="auto"/>
        <w:left w:val="none" w:sz="0" w:space="0" w:color="auto"/>
        <w:bottom w:val="none" w:sz="0" w:space="0" w:color="auto"/>
        <w:right w:val="none" w:sz="0" w:space="0" w:color="auto"/>
      </w:divBdr>
    </w:div>
    <w:div w:id="1902907858">
      <w:bodyDiv w:val="1"/>
      <w:marLeft w:val="0"/>
      <w:marRight w:val="0"/>
      <w:marTop w:val="0"/>
      <w:marBottom w:val="0"/>
      <w:divBdr>
        <w:top w:val="none" w:sz="0" w:space="0" w:color="auto"/>
        <w:left w:val="none" w:sz="0" w:space="0" w:color="auto"/>
        <w:bottom w:val="none" w:sz="0" w:space="0" w:color="auto"/>
        <w:right w:val="none" w:sz="0" w:space="0" w:color="auto"/>
      </w:divBdr>
    </w:div>
    <w:div w:id="1942256056">
      <w:bodyDiv w:val="1"/>
      <w:marLeft w:val="0"/>
      <w:marRight w:val="0"/>
      <w:marTop w:val="0"/>
      <w:marBottom w:val="0"/>
      <w:divBdr>
        <w:top w:val="none" w:sz="0" w:space="0" w:color="auto"/>
        <w:left w:val="none" w:sz="0" w:space="0" w:color="auto"/>
        <w:bottom w:val="none" w:sz="0" w:space="0" w:color="auto"/>
        <w:right w:val="none" w:sz="0" w:space="0" w:color="auto"/>
      </w:divBdr>
    </w:div>
    <w:div w:id="1977641705">
      <w:bodyDiv w:val="1"/>
      <w:marLeft w:val="0"/>
      <w:marRight w:val="0"/>
      <w:marTop w:val="0"/>
      <w:marBottom w:val="0"/>
      <w:divBdr>
        <w:top w:val="none" w:sz="0" w:space="0" w:color="auto"/>
        <w:left w:val="none" w:sz="0" w:space="0" w:color="auto"/>
        <w:bottom w:val="none" w:sz="0" w:space="0" w:color="auto"/>
        <w:right w:val="none" w:sz="0" w:space="0" w:color="auto"/>
      </w:divBdr>
    </w:div>
    <w:div w:id="1991863848">
      <w:bodyDiv w:val="1"/>
      <w:marLeft w:val="0"/>
      <w:marRight w:val="0"/>
      <w:marTop w:val="0"/>
      <w:marBottom w:val="0"/>
      <w:divBdr>
        <w:top w:val="none" w:sz="0" w:space="0" w:color="auto"/>
        <w:left w:val="none" w:sz="0" w:space="0" w:color="auto"/>
        <w:bottom w:val="none" w:sz="0" w:space="0" w:color="auto"/>
        <w:right w:val="none" w:sz="0" w:space="0" w:color="auto"/>
      </w:divBdr>
    </w:div>
    <w:div w:id="2048870188">
      <w:bodyDiv w:val="1"/>
      <w:marLeft w:val="0"/>
      <w:marRight w:val="0"/>
      <w:marTop w:val="0"/>
      <w:marBottom w:val="0"/>
      <w:divBdr>
        <w:top w:val="none" w:sz="0" w:space="0" w:color="auto"/>
        <w:left w:val="none" w:sz="0" w:space="0" w:color="auto"/>
        <w:bottom w:val="none" w:sz="0" w:space="0" w:color="auto"/>
        <w:right w:val="none" w:sz="0" w:space="0" w:color="auto"/>
      </w:divBdr>
    </w:div>
    <w:div w:id="2126389003">
      <w:bodyDiv w:val="1"/>
      <w:marLeft w:val="0"/>
      <w:marRight w:val="0"/>
      <w:marTop w:val="0"/>
      <w:marBottom w:val="0"/>
      <w:divBdr>
        <w:top w:val="none" w:sz="0" w:space="0" w:color="auto"/>
        <w:left w:val="none" w:sz="0" w:space="0" w:color="auto"/>
        <w:bottom w:val="none" w:sz="0" w:space="0" w:color="auto"/>
        <w:right w:val="none" w:sz="0" w:space="0" w:color="auto"/>
      </w:divBdr>
    </w:div>
    <w:div w:id="21471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www.lutrija.hr/DesignTemplates/Lutrija_content/images/_gui/logo.jpg" TargetMode="External"/><Relationship Id="rId18" Type="http://schemas.openxmlformats.org/officeDocument/2006/relationships/hyperlink" Target="http://www.zakon.hr/cms.htm?id=1598" TargetMode="External"/><Relationship Id="rId26" Type="http://schemas.openxmlformats.org/officeDocument/2006/relationships/image" Target="media/image3.e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hart" Target="charts/chart3.xml"/><Relationship Id="rId34" Type="http://schemas.openxmlformats.org/officeDocument/2006/relationships/image" Target="media/image11.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zakon.hr/cms.htm?id=736" TargetMode="External"/><Relationship Id="rId25" Type="http://schemas.openxmlformats.org/officeDocument/2006/relationships/chart" Target="charts/chart6.xml"/><Relationship Id="rId33" Type="http://schemas.openxmlformats.org/officeDocument/2006/relationships/image" Target="media/image10.e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akon.hr/cms.htm?id=735" TargetMode="External"/><Relationship Id="rId20" Type="http://schemas.openxmlformats.org/officeDocument/2006/relationships/chart" Target="charts/chart2.xml"/><Relationship Id="rId29" Type="http://schemas.openxmlformats.org/officeDocument/2006/relationships/image" Target="media/image6.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5.xml"/><Relationship Id="rId32" Type="http://schemas.openxmlformats.org/officeDocument/2006/relationships/image" Target="media/image9.emf"/><Relationship Id="rId37" Type="http://schemas.openxmlformats.org/officeDocument/2006/relationships/image" Target="media/image14.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zakon.hr/cms.htm?id=734" TargetMode="External"/><Relationship Id="rId23" Type="http://schemas.openxmlformats.org/officeDocument/2006/relationships/chart" Target="charts/chart4.xml"/><Relationship Id="rId28" Type="http://schemas.openxmlformats.org/officeDocument/2006/relationships/image" Target="media/image5.emf"/><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chart" Target="charts/chart1.xml"/><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akon.hr/cms.htm?id=733" TargetMode="External"/><Relationship Id="rId22" Type="http://schemas.openxmlformats.org/officeDocument/2006/relationships/image" Target="media/image2.png"/><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image" Target="media/image1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r-HR"/>
              <a:t>Tržišni udio </a:t>
            </a:r>
            <a:r>
              <a:rPr lang="en-US"/>
              <a:t>kladionice </a:t>
            </a:r>
            <a:r>
              <a:rPr lang="hr-HR"/>
              <a:t>HL u prometu</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RH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Sheet1!$A$2:$A$10</c:f>
              <c:strCache>
                <c:ptCount val="9"/>
                <c:pt idx="0">
                  <c:v>2010</c:v>
                </c:pt>
                <c:pt idx="1">
                  <c:v>2011</c:v>
                </c:pt>
                <c:pt idx="2">
                  <c:v>2012</c:v>
                </c:pt>
                <c:pt idx="3">
                  <c:v>2013</c:v>
                </c:pt>
                <c:pt idx="4">
                  <c:v>2014</c:v>
                </c:pt>
                <c:pt idx="5">
                  <c:v>2015</c:v>
                </c:pt>
                <c:pt idx="6">
                  <c:v>2016</c:v>
                </c:pt>
                <c:pt idx="7">
                  <c:v>2017</c:v>
                </c:pt>
                <c:pt idx="8">
                  <c:v>2018 (7 mj)</c:v>
                </c:pt>
              </c:strCache>
            </c:strRef>
          </c:cat>
          <c:val>
            <c:numRef>
              <c:f>Sheet1!$B$2:$B$10</c:f>
              <c:numCache>
                <c:formatCode>#,##0.00</c:formatCode>
                <c:ptCount val="9"/>
                <c:pt idx="0">
                  <c:v>4511072271.1700001</c:v>
                </c:pt>
                <c:pt idx="1">
                  <c:v>4663244515.3299999</c:v>
                </c:pt>
                <c:pt idx="2">
                  <c:v>5452677255.96</c:v>
                </c:pt>
                <c:pt idx="3">
                  <c:v>5625643600</c:v>
                </c:pt>
                <c:pt idx="4">
                  <c:v>5757400000</c:v>
                </c:pt>
                <c:pt idx="5">
                  <c:v>4859400000</c:v>
                </c:pt>
                <c:pt idx="6">
                  <c:v>5051500000</c:v>
                </c:pt>
                <c:pt idx="7">
                  <c:v>5009300000</c:v>
                </c:pt>
                <c:pt idx="8">
                  <c:v>2871700000</c:v>
                </c:pt>
              </c:numCache>
            </c:numRef>
          </c:val>
          <c:extLst>
            <c:ext xmlns:c16="http://schemas.microsoft.com/office/drawing/2014/chart" uri="{C3380CC4-5D6E-409C-BE32-E72D297353CC}">
              <c16:uniqueId val="{00000000-D564-461B-8E25-140A44F78B02}"/>
            </c:ext>
          </c:extLst>
        </c:ser>
        <c:ser>
          <c:idx val="1"/>
          <c:order val="1"/>
          <c:tx>
            <c:strRef>
              <c:f>Sheet1!$C$1</c:f>
              <c:strCache>
                <c:ptCount val="1"/>
                <c:pt idx="0">
                  <c:v>HL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Sheet1!$A$2:$A$10</c:f>
              <c:strCache>
                <c:ptCount val="9"/>
                <c:pt idx="0">
                  <c:v>2010</c:v>
                </c:pt>
                <c:pt idx="1">
                  <c:v>2011</c:v>
                </c:pt>
                <c:pt idx="2">
                  <c:v>2012</c:v>
                </c:pt>
                <c:pt idx="3">
                  <c:v>2013</c:v>
                </c:pt>
                <c:pt idx="4">
                  <c:v>2014</c:v>
                </c:pt>
                <c:pt idx="5">
                  <c:v>2015</c:v>
                </c:pt>
                <c:pt idx="6">
                  <c:v>2016</c:v>
                </c:pt>
                <c:pt idx="7">
                  <c:v>2017</c:v>
                </c:pt>
                <c:pt idx="8">
                  <c:v>2018 (7 mj)</c:v>
                </c:pt>
              </c:strCache>
            </c:strRef>
          </c:cat>
          <c:val>
            <c:numRef>
              <c:f>Sheet1!$C$2:$C$10</c:f>
              <c:numCache>
                <c:formatCode>#,##0.00</c:formatCode>
                <c:ptCount val="9"/>
                <c:pt idx="0">
                  <c:v>487739806.75</c:v>
                </c:pt>
                <c:pt idx="1">
                  <c:v>457068727.41000003</c:v>
                </c:pt>
                <c:pt idx="2">
                  <c:v>633155251.15999997</c:v>
                </c:pt>
                <c:pt idx="3">
                  <c:v>594735418.91999996</c:v>
                </c:pt>
                <c:pt idx="4">
                  <c:v>522819855.36000001</c:v>
                </c:pt>
                <c:pt idx="5">
                  <c:v>436800000</c:v>
                </c:pt>
                <c:pt idx="6">
                  <c:v>433581785.26999998</c:v>
                </c:pt>
                <c:pt idx="7">
                  <c:v>443376748.59421057</c:v>
                </c:pt>
                <c:pt idx="8">
                  <c:v>291997748.34315789</c:v>
                </c:pt>
              </c:numCache>
            </c:numRef>
          </c:val>
          <c:extLst>
            <c:ext xmlns:c16="http://schemas.microsoft.com/office/drawing/2014/chart" uri="{C3380CC4-5D6E-409C-BE32-E72D297353CC}">
              <c16:uniqueId val="{00000001-D564-461B-8E25-140A44F78B02}"/>
            </c:ext>
          </c:extLst>
        </c:ser>
        <c:dLbls>
          <c:showLegendKey val="0"/>
          <c:showVal val="0"/>
          <c:showCatName val="0"/>
          <c:showSerName val="0"/>
          <c:showPercent val="0"/>
          <c:showBubbleSize val="0"/>
        </c:dLbls>
        <c:gapWidth val="150"/>
        <c:axId val="332693904"/>
        <c:axId val="332699392"/>
      </c:barChart>
      <c:lineChart>
        <c:grouping val="standard"/>
        <c:varyColors val="0"/>
        <c:ser>
          <c:idx val="2"/>
          <c:order val="2"/>
          <c:tx>
            <c:strRef>
              <c:f>Sheet1!$D$1</c:f>
              <c:strCache>
                <c:ptCount val="1"/>
                <c:pt idx="0">
                  <c:v>HL/RH [%]</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Sheet1!$A$2:$A$10</c:f>
              <c:strCache>
                <c:ptCount val="9"/>
                <c:pt idx="0">
                  <c:v>2010</c:v>
                </c:pt>
                <c:pt idx="1">
                  <c:v>2011</c:v>
                </c:pt>
                <c:pt idx="2">
                  <c:v>2012</c:v>
                </c:pt>
                <c:pt idx="3">
                  <c:v>2013</c:v>
                </c:pt>
                <c:pt idx="4">
                  <c:v>2014</c:v>
                </c:pt>
                <c:pt idx="5">
                  <c:v>2015</c:v>
                </c:pt>
                <c:pt idx="6">
                  <c:v>2016</c:v>
                </c:pt>
                <c:pt idx="7">
                  <c:v>2017</c:v>
                </c:pt>
                <c:pt idx="8">
                  <c:v>2018 (7 mj)</c:v>
                </c:pt>
              </c:strCache>
            </c:strRef>
          </c:cat>
          <c:val>
            <c:numRef>
              <c:f>Sheet1!$D$2:$D$10</c:f>
              <c:numCache>
                <c:formatCode>0.00%</c:formatCode>
                <c:ptCount val="9"/>
                <c:pt idx="0">
                  <c:v>0.10812059249573913</c:v>
                </c:pt>
                <c:pt idx="1">
                  <c:v>9.801517503691419E-2</c:v>
                </c:pt>
                <c:pt idx="2">
                  <c:v>0.11611823356460999</c:v>
                </c:pt>
                <c:pt idx="3">
                  <c:v>0.10571864504889715</c:v>
                </c:pt>
                <c:pt idx="4">
                  <c:v>9.0808325869316017E-2</c:v>
                </c:pt>
                <c:pt idx="5">
                  <c:v>8.98876404494382E-2</c:v>
                </c:pt>
                <c:pt idx="6">
                  <c:v>8.583228452340888E-2</c:v>
                </c:pt>
                <c:pt idx="7">
                  <c:v>8.851071978005122E-2</c:v>
                </c:pt>
                <c:pt idx="8">
                  <c:v>0.10168114647879579</c:v>
                </c:pt>
              </c:numCache>
            </c:numRef>
          </c:val>
          <c:smooth val="0"/>
          <c:extLst>
            <c:ext xmlns:c16="http://schemas.microsoft.com/office/drawing/2014/chart" uri="{C3380CC4-5D6E-409C-BE32-E72D297353CC}">
              <c16:uniqueId val="{00000002-D564-461B-8E25-140A44F78B02}"/>
            </c:ext>
          </c:extLst>
        </c:ser>
        <c:dLbls>
          <c:showLegendKey val="0"/>
          <c:showVal val="0"/>
          <c:showCatName val="0"/>
          <c:showSerName val="0"/>
          <c:showPercent val="0"/>
          <c:showBubbleSize val="0"/>
        </c:dLbls>
        <c:marker val="1"/>
        <c:smooth val="0"/>
        <c:axId val="332699784"/>
        <c:axId val="332697824"/>
      </c:lineChart>
      <c:catAx>
        <c:axId val="3326939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2699392"/>
        <c:crosses val="autoZero"/>
        <c:auto val="1"/>
        <c:lblAlgn val="ctr"/>
        <c:lblOffset val="100"/>
        <c:noMultiLvlLbl val="0"/>
      </c:catAx>
      <c:valAx>
        <c:axId val="3326993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2693904"/>
        <c:crosses val="autoZero"/>
        <c:crossBetween val="between"/>
      </c:valAx>
      <c:valAx>
        <c:axId val="332697824"/>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2699784"/>
        <c:crosses val="max"/>
        <c:crossBetween val="between"/>
      </c:valAx>
      <c:catAx>
        <c:axId val="332699784"/>
        <c:scaling>
          <c:orientation val="minMax"/>
        </c:scaling>
        <c:delete val="1"/>
        <c:axPos val="b"/>
        <c:numFmt formatCode="General" sourceLinked="1"/>
        <c:majorTickMark val="none"/>
        <c:minorTickMark val="none"/>
        <c:tickLblPos val="nextTo"/>
        <c:crossAx val="3326978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Ostatak od klađenja po</a:t>
            </a:r>
            <a:r>
              <a:rPr lang="hr-HR" baseline="0"/>
              <a:t> godinama</a:t>
            </a:r>
            <a:endParaRPr lang="hr-HR"/>
          </a:p>
          <a:p>
            <a:pPr>
              <a:defRPr/>
            </a:pP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Sheet2!$G$4</c:f>
              <c:strCache>
                <c:ptCount val="1"/>
                <c:pt idx="0">
                  <c:v>prihod (%) RH</c:v>
                </c:pt>
              </c:strCache>
            </c:strRef>
          </c:tx>
          <c:spPr>
            <a:ln w="28575" cap="rnd">
              <a:solidFill>
                <a:schemeClr val="accent1"/>
              </a:solidFill>
              <a:round/>
            </a:ln>
            <a:effectLst/>
          </c:spPr>
          <c:marker>
            <c:symbol val="none"/>
          </c:marker>
          <c:cat>
            <c:strRef>
              <c:f>Sheet2!$F$5:$F$18</c:f>
              <c:strCach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 (7 mj)</c:v>
                </c:pt>
              </c:strCache>
            </c:strRef>
          </c:cat>
          <c:val>
            <c:numRef>
              <c:f>Sheet2!$G$5:$G$18</c:f>
              <c:numCache>
                <c:formatCode>0.0%</c:formatCode>
                <c:ptCount val="14"/>
                <c:pt idx="0">
                  <c:v>0.22326136189096946</c:v>
                </c:pt>
                <c:pt idx="1">
                  <c:v>0.16479001816085875</c:v>
                </c:pt>
                <c:pt idx="2">
                  <c:v>0.19920103680006984</c:v>
                </c:pt>
                <c:pt idx="3">
                  <c:v>0.19523146018294421</c:v>
                </c:pt>
                <c:pt idx="4">
                  <c:v>0.16574293961301137</c:v>
                </c:pt>
                <c:pt idx="5">
                  <c:v>0.17789581925094319</c:v>
                </c:pt>
                <c:pt idx="6">
                  <c:v>0.21098672938027882</c:v>
                </c:pt>
                <c:pt idx="7">
                  <c:v>0.16457225859262983</c:v>
                </c:pt>
                <c:pt idx="8">
                  <c:v>0.19467756936468564</c:v>
                </c:pt>
                <c:pt idx="9">
                  <c:v>0.20444992531350958</c:v>
                </c:pt>
                <c:pt idx="10">
                  <c:v>0.22449273572869077</c:v>
                </c:pt>
                <c:pt idx="11">
                  <c:v>0.19998020389983173</c:v>
                </c:pt>
                <c:pt idx="12">
                  <c:v>0.22144810652186933</c:v>
                </c:pt>
                <c:pt idx="13">
                  <c:v>0.23397290803356896</c:v>
                </c:pt>
              </c:numCache>
            </c:numRef>
          </c:val>
          <c:smooth val="0"/>
          <c:extLst>
            <c:ext xmlns:c16="http://schemas.microsoft.com/office/drawing/2014/chart" uri="{C3380CC4-5D6E-409C-BE32-E72D297353CC}">
              <c16:uniqueId val="{00000000-9136-4E94-BEF1-43B9A91ED812}"/>
            </c:ext>
          </c:extLst>
        </c:ser>
        <c:ser>
          <c:idx val="1"/>
          <c:order val="1"/>
          <c:tx>
            <c:strRef>
              <c:f>Sheet2!$H$4</c:f>
              <c:strCache>
                <c:ptCount val="1"/>
                <c:pt idx="0">
                  <c:v>prihod (%) HL</c:v>
                </c:pt>
              </c:strCache>
            </c:strRef>
          </c:tx>
          <c:spPr>
            <a:ln w="28575" cap="rnd">
              <a:solidFill>
                <a:schemeClr val="accent2"/>
              </a:solidFill>
              <a:round/>
            </a:ln>
            <a:effectLst/>
          </c:spPr>
          <c:marker>
            <c:symbol val="none"/>
          </c:marker>
          <c:cat>
            <c:strRef>
              <c:f>Sheet2!$F$5:$F$18</c:f>
              <c:strCach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 (7 mj)</c:v>
                </c:pt>
              </c:strCache>
            </c:strRef>
          </c:cat>
          <c:val>
            <c:numRef>
              <c:f>Sheet2!$H$5:$H$18</c:f>
              <c:numCache>
                <c:formatCode>0.0%</c:formatCode>
                <c:ptCount val="14"/>
                <c:pt idx="0">
                  <c:v>0.15000115591630434</c:v>
                </c:pt>
                <c:pt idx="1">
                  <c:v>0.12415034406173302</c:v>
                </c:pt>
                <c:pt idx="2">
                  <c:v>0.12771309054263283</c:v>
                </c:pt>
                <c:pt idx="3">
                  <c:v>0.14049360016594434</c:v>
                </c:pt>
                <c:pt idx="4">
                  <c:v>0.12094972483020927</c:v>
                </c:pt>
                <c:pt idx="5">
                  <c:v>0.12570323371499145</c:v>
                </c:pt>
                <c:pt idx="6">
                  <c:v>0.18402645697645642</c:v>
                </c:pt>
                <c:pt idx="7">
                  <c:v>0.13340005969350469</c:v>
                </c:pt>
                <c:pt idx="8">
                  <c:v>0.17610197035211067</c:v>
                </c:pt>
                <c:pt idx="9">
                  <c:v>0.20276505297796044</c:v>
                </c:pt>
                <c:pt idx="10">
                  <c:v>0.20492358704212452</c:v>
                </c:pt>
                <c:pt idx="11">
                  <c:v>0.17285532362326755</c:v>
                </c:pt>
                <c:pt idx="12">
                  <c:v>0.21122934529416462</c:v>
                </c:pt>
                <c:pt idx="13">
                  <c:v>0.21903173773105755</c:v>
                </c:pt>
              </c:numCache>
            </c:numRef>
          </c:val>
          <c:smooth val="0"/>
          <c:extLst>
            <c:ext xmlns:c16="http://schemas.microsoft.com/office/drawing/2014/chart" uri="{C3380CC4-5D6E-409C-BE32-E72D297353CC}">
              <c16:uniqueId val="{00000001-9136-4E94-BEF1-43B9A91ED812}"/>
            </c:ext>
          </c:extLst>
        </c:ser>
        <c:dLbls>
          <c:showLegendKey val="0"/>
          <c:showVal val="0"/>
          <c:showCatName val="0"/>
          <c:showSerName val="0"/>
          <c:showPercent val="0"/>
          <c:showBubbleSize val="0"/>
        </c:dLbls>
        <c:smooth val="0"/>
        <c:axId val="287819080"/>
        <c:axId val="287821040"/>
      </c:lineChart>
      <c:catAx>
        <c:axId val="287819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87821040"/>
        <c:crosses val="autoZero"/>
        <c:auto val="1"/>
        <c:lblAlgn val="ctr"/>
        <c:lblOffset val="100"/>
        <c:noMultiLvlLbl val="0"/>
      </c:catAx>
      <c:valAx>
        <c:axId val="2878210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87819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Udio Hrvatske</a:t>
            </a:r>
            <a:r>
              <a:rPr lang="hr-HR" baseline="0"/>
              <a:t> Lutrije</a:t>
            </a:r>
            <a:r>
              <a:rPr lang="hr-HR"/>
              <a:t> na tržištu klađenja po godinama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spPr>
            <a:ln w="28575" cap="rnd">
              <a:solidFill>
                <a:schemeClr val="accent1"/>
              </a:solidFill>
              <a:round/>
            </a:ln>
            <a:effectLst/>
          </c:spPr>
          <c:marker>
            <c:symbol val="none"/>
          </c:marker>
          <c:cat>
            <c:strRef>
              <c:f>Sheet2!$L$4:$L$17</c:f>
              <c:strCach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 (7 mj)</c:v>
                </c:pt>
              </c:strCache>
            </c:strRef>
          </c:cat>
          <c:val>
            <c:numRef>
              <c:f>Sheet2!$M$4:$M$17</c:f>
              <c:numCache>
                <c:formatCode>0.0%</c:formatCode>
                <c:ptCount val="14"/>
                <c:pt idx="0">
                  <c:v>4.4708485383883043E-2</c:v>
                </c:pt>
                <c:pt idx="1">
                  <c:v>4.7449406047688665E-2</c:v>
                </c:pt>
                <c:pt idx="2">
                  <c:v>6.1718776357357702E-2</c:v>
                </c:pt>
                <c:pt idx="3">
                  <c:v>8.224824707325655E-2</c:v>
                </c:pt>
                <c:pt idx="4">
                  <c:v>0.10405238113447678</c:v>
                </c:pt>
                <c:pt idx="5">
                  <c:v>0.10812059249573913</c:v>
                </c:pt>
                <c:pt idx="6">
                  <c:v>9.801517503691419E-2</c:v>
                </c:pt>
                <c:pt idx="7">
                  <c:v>0.11611823356460999</c:v>
                </c:pt>
                <c:pt idx="8">
                  <c:v>0.10571864504889715</c:v>
                </c:pt>
                <c:pt idx="9">
                  <c:v>9.0808325869316017E-2</c:v>
                </c:pt>
                <c:pt idx="10">
                  <c:v>8.98876404494382E-2</c:v>
                </c:pt>
                <c:pt idx="11">
                  <c:v>8.583228452340888E-2</c:v>
                </c:pt>
                <c:pt idx="12">
                  <c:v>8.851071978005122E-2</c:v>
                </c:pt>
                <c:pt idx="13">
                  <c:v>0.10168114647879579</c:v>
                </c:pt>
              </c:numCache>
            </c:numRef>
          </c:val>
          <c:smooth val="0"/>
          <c:extLst>
            <c:ext xmlns:c16="http://schemas.microsoft.com/office/drawing/2014/chart" uri="{C3380CC4-5D6E-409C-BE32-E72D297353CC}">
              <c16:uniqueId val="{00000000-FCF8-4251-B2F0-C049C2FB2FB3}"/>
            </c:ext>
          </c:extLst>
        </c:ser>
        <c:dLbls>
          <c:showLegendKey val="0"/>
          <c:showVal val="0"/>
          <c:showCatName val="0"/>
          <c:showSerName val="0"/>
          <c:showPercent val="0"/>
          <c:showBubbleSize val="0"/>
        </c:dLbls>
        <c:smooth val="0"/>
        <c:axId val="332707200"/>
        <c:axId val="332702496"/>
      </c:lineChart>
      <c:catAx>
        <c:axId val="33270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2702496"/>
        <c:crosses val="autoZero"/>
        <c:auto val="1"/>
        <c:lblAlgn val="ctr"/>
        <c:lblOffset val="100"/>
        <c:noMultiLvlLbl val="0"/>
      </c:catAx>
      <c:valAx>
        <c:axId val="3327024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2707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baseline="0"/>
              <a:t>Uplata iCasina RH</a:t>
            </a:r>
            <a:endParaRPr lang="hr-HR"/>
          </a:p>
        </c:rich>
      </c:tx>
      <c:overlay val="0"/>
      <c:spPr>
        <a:noFill/>
        <a:ln>
          <a:noFill/>
        </a:ln>
        <a:effectLst/>
      </c:spPr>
    </c:title>
    <c:autoTitleDeleted val="0"/>
    <c:plotArea>
      <c:layout/>
      <c:barChart>
        <c:barDir val="col"/>
        <c:grouping val="clustered"/>
        <c:varyColors val="0"/>
        <c:ser>
          <c:idx val="0"/>
          <c:order val="0"/>
          <c:tx>
            <c:strRef>
              <c:f>Sheet1!$B$1</c:f>
              <c:strCache>
                <c:ptCount val="1"/>
                <c:pt idx="0">
                  <c:v>Uplata RH</c:v>
                </c:pt>
              </c:strCache>
            </c:strRef>
          </c:tx>
          <c:spPr>
            <a:solidFill>
              <a:schemeClr val="accent1"/>
            </a:solidFill>
            <a:ln>
              <a:noFill/>
            </a:ln>
            <a:effectLst/>
          </c:spPr>
          <c:invertIfNegative val="0"/>
          <c:cat>
            <c:strRef>
              <c:f>Sheet1!$A$2:$A$4</c:f>
              <c:strCache>
                <c:ptCount val="3"/>
                <c:pt idx="0">
                  <c:v>2015.</c:v>
                </c:pt>
                <c:pt idx="1">
                  <c:v>2016.</c:v>
                </c:pt>
                <c:pt idx="2">
                  <c:v>2017.</c:v>
                </c:pt>
              </c:strCache>
            </c:strRef>
          </c:cat>
          <c:val>
            <c:numRef>
              <c:f>Sheet1!$B$2:$B$4</c:f>
              <c:numCache>
                <c:formatCode>#,##0.00</c:formatCode>
                <c:ptCount val="3"/>
                <c:pt idx="0">
                  <c:v>561737154.29999995</c:v>
                </c:pt>
                <c:pt idx="1">
                  <c:v>1530819348.8299999</c:v>
                </c:pt>
                <c:pt idx="2">
                  <c:v>5244000000</c:v>
                </c:pt>
              </c:numCache>
            </c:numRef>
          </c:val>
          <c:extLst>
            <c:ext xmlns:c16="http://schemas.microsoft.com/office/drawing/2014/chart" uri="{C3380CC4-5D6E-409C-BE32-E72D297353CC}">
              <c16:uniqueId val="{00000000-E51F-4B85-9546-8069CF66910D}"/>
            </c:ext>
          </c:extLst>
        </c:ser>
        <c:ser>
          <c:idx val="1"/>
          <c:order val="1"/>
          <c:tx>
            <c:strRef>
              <c:f>Sheet1!$C$1</c:f>
              <c:strCache>
                <c:ptCount val="1"/>
                <c:pt idx="0">
                  <c:v>Promet HL</c:v>
                </c:pt>
              </c:strCache>
            </c:strRef>
          </c:tx>
          <c:spPr>
            <a:solidFill>
              <a:schemeClr val="accent2"/>
            </a:solidFill>
            <a:ln>
              <a:noFill/>
            </a:ln>
            <a:effectLst/>
          </c:spPr>
          <c:invertIfNegative val="0"/>
          <c:cat>
            <c:strRef>
              <c:f>Sheet1!$A$2:$A$4</c:f>
              <c:strCache>
                <c:ptCount val="3"/>
                <c:pt idx="0">
                  <c:v>2015.</c:v>
                </c:pt>
                <c:pt idx="1">
                  <c:v>2016.</c:v>
                </c:pt>
                <c:pt idx="2">
                  <c:v>2017.</c:v>
                </c:pt>
              </c:strCache>
            </c:strRef>
          </c:cat>
          <c:val>
            <c:numRef>
              <c:f>Sheet1!$C$2:$C$4</c:f>
              <c:numCache>
                <c:formatCode>#,##0.00</c:formatCode>
                <c:ptCount val="3"/>
                <c:pt idx="0">
                  <c:v>561737154.29999995</c:v>
                </c:pt>
                <c:pt idx="1">
                  <c:v>1530819348.8299999</c:v>
                </c:pt>
                <c:pt idx="2">
                  <c:v>1970235147.6300001</c:v>
                </c:pt>
              </c:numCache>
            </c:numRef>
          </c:val>
          <c:extLst>
            <c:ext xmlns:c16="http://schemas.microsoft.com/office/drawing/2014/chart" uri="{C3380CC4-5D6E-409C-BE32-E72D297353CC}">
              <c16:uniqueId val="{00000001-E51F-4B85-9546-8069CF66910D}"/>
            </c:ext>
          </c:extLst>
        </c:ser>
        <c:dLbls>
          <c:showLegendKey val="0"/>
          <c:showVal val="0"/>
          <c:showCatName val="0"/>
          <c:showSerName val="0"/>
          <c:showPercent val="0"/>
          <c:showBubbleSize val="0"/>
        </c:dLbls>
        <c:gapWidth val="150"/>
        <c:axId val="331117720"/>
        <c:axId val="331116152"/>
      </c:barChart>
      <c:lineChart>
        <c:grouping val="standard"/>
        <c:varyColors val="0"/>
        <c:ser>
          <c:idx val="2"/>
          <c:order val="2"/>
          <c:tx>
            <c:strRef>
              <c:f>Sheet1!$D$1</c:f>
              <c:strCache>
                <c:ptCount val="1"/>
                <c:pt idx="0">
                  <c:v>Udio</c:v>
                </c:pt>
              </c:strCache>
            </c:strRef>
          </c:tx>
          <c:spPr>
            <a:ln w="28575" cap="rnd">
              <a:solidFill>
                <a:schemeClr val="accent3"/>
              </a:solidFill>
              <a:round/>
            </a:ln>
            <a:effectLst/>
          </c:spPr>
          <c:marker>
            <c:symbol val="none"/>
          </c:marker>
          <c:cat>
            <c:strRef>
              <c:f>Sheet1!$A$2:$A$4</c:f>
              <c:strCache>
                <c:ptCount val="3"/>
                <c:pt idx="0">
                  <c:v>2015.</c:v>
                </c:pt>
                <c:pt idx="1">
                  <c:v>2016.</c:v>
                </c:pt>
                <c:pt idx="2">
                  <c:v>2017.</c:v>
                </c:pt>
              </c:strCache>
            </c:strRef>
          </c:cat>
          <c:val>
            <c:numRef>
              <c:f>Sheet1!$D$2:$D$4</c:f>
              <c:numCache>
                <c:formatCode>0.00%</c:formatCode>
                <c:ptCount val="3"/>
                <c:pt idx="0">
                  <c:v>1</c:v>
                </c:pt>
                <c:pt idx="1">
                  <c:v>1</c:v>
                </c:pt>
                <c:pt idx="2">
                  <c:v>0.37571227071510299</c:v>
                </c:pt>
              </c:numCache>
            </c:numRef>
          </c:val>
          <c:smooth val="0"/>
          <c:extLst>
            <c:ext xmlns:c16="http://schemas.microsoft.com/office/drawing/2014/chart" uri="{C3380CC4-5D6E-409C-BE32-E72D297353CC}">
              <c16:uniqueId val="{00000002-E51F-4B85-9546-8069CF66910D}"/>
            </c:ext>
          </c:extLst>
        </c:ser>
        <c:dLbls>
          <c:showLegendKey val="0"/>
          <c:showVal val="0"/>
          <c:showCatName val="0"/>
          <c:showSerName val="0"/>
          <c:showPercent val="0"/>
          <c:showBubbleSize val="0"/>
        </c:dLbls>
        <c:marker val="1"/>
        <c:smooth val="0"/>
        <c:axId val="287820648"/>
        <c:axId val="331118504"/>
      </c:lineChart>
      <c:catAx>
        <c:axId val="331117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1116152"/>
        <c:crosses val="autoZero"/>
        <c:auto val="1"/>
        <c:lblAlgn val="ctr"/>
        <c:lblOffset val="100"/>
        <c:noMultiLvlLbl val="0"/>
      </c:catAx>
      <c:valAx>
        <c:axId val="3311161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1117720"/>
        <c:crosses val="autoZero"/>
        <c:crossBetween val="between"/>
      </c:valAx>
      <c:valAx>
        <c:axId val="331118504"/>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87820648"/>
        <c:crosses val="max"/>
        <c:crossBetween val="between"/>
      </c:valAx>
      <c:catAx>
        <c:axId val="287820648"/>
        <c:scaling>
          <c:orientation val="minMax"/>
        </c:scaling>
        <c:delete val="1"/>
        <c:axPos val="b"/>
        <c:numFmt formatCode="General" sourceLinked="1"/>
        <c:majorTickMark val="out"/>
        <c:minorTickMark val="none"/>
        <c:tickLblPos val="nextTo"/>
        <c:crossAx val="331118504"/>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Prihod iCasina RH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Prihod RH</c:v>
                </c:pt>
              </c:strCache>
            </c:strRef>
          </c:tx>
          <c:spPr>
            <a:solidFill>
              <a:schemeClr val="accent1"/>
            </a:solidFill>
            <a:ln>
              <a:noFill/>
            </a:ln>
            <a:effectLst/>
          </c:spPr>
          <c:invertIfNegative val="0"/>
          <c:cat>
            <c:strRef>
              <c:f>Sheet1!$A$2:$A$4</c:f>
              <c:strCache>
                <c:ptCount val="3"/>
                <c:pt idx="0">
                  <c:v>2015.</c:v>
                </c:pt>
                <c:pt idx="1">
                  <c:v>2016.</c:v>
                </c:pt>
                <c:pt idx="2">
                  <c:v>2017.</c:v>
                </c:pt>
              </c:strCache>
            </c:strRef>
          </c:cat>
          <c:val>
            <c:numRef>
              <c:f>Sheet1!$B$2:$B$4</c:f>
              <c:numCache>
                <c:formatCode>#,##0.00</c:formatCode>
                <c:ptCount val="3"/>
                <c:pt idx="0">
                  <c:v>18860157.829999998</c:v>
                </c:pt>
                <c:pt idx="1">
                  <c:v>57147396</c:v>
                </c:pt>
                <c:pt idx="2">
                  <c:v>219300000</c:v>
                </c:pt>
              </c:numCache>
            </c:numRef>
          </c:val>
          <c:extLst>
            <c:ext xmlns:c16="http://schemas.microsoft.com/office/drawing/2014/chart" uri="{C3380CC4-5D6E-409C-BE32-E72D297353CC}">
              <c16:uniqueId val="{00000000-E0AC-4FFA-B8C3-AB700BE8B2D0}"/>
            </c:ext>
          </c:extLst>
        </c:ser>
        <c:ser>
          <c:idx val="1"/>
          <c:order val="1"/>
          <c:tx>
            <c:strRef>
              <c:f>Sheet1!$C$1</c:f>
              <c:strCache>
                <c:ptCount val="1"/>
                <c:pt idx="0">
                  <c:v>Prihod HL</c:v>
                </c:pt>
              </c:strCache>
            </c:strRef>
          </c:tx>
          <c:spPr>
            <a:solidFill>
              <a:schemeClr val="accent2"/>
            </a:solidFill>
            <a:ln>
              <a:noFill/>
            </a:ln>
            <a:effectLst/>
          </c:spPr>
          <c:invertIfNegative val="0"/>
          <c:cat>
            <c:strRef>
              <c:f>Sheet1!$A$2:$A$4</c:f>
              <c:strCache>
                <c:ptCount val="3"/>
                <c:pt idx="0">
                  <c:v>2015.</c:v>
                </c:pt>
                <c:pt idx="1">
                  <c:v>2016.</c:v>
                </c:pt>
                <c:pt idx="2">
                  <c:v>2017.</c:v>
                </c:pt>
              </c:strCache>
            </c:strRef>
          </c:cat>
          <c:val>
            <c:numRef>
              <c:f>Sheet1!$C$2:$C$4</c:f>
              <c:numCache>
                <c:formatCode>#,##0.00</c:formatCode>
                <c:ptCount val="3"/>
                <c:pt idx="0">
                  <c:v>18860157.829999998</c:v>
                </c:pt>
                <c:pt idx="1">
                  <c:v>57147396</c:v>
                </c:pt>
                <c:pt idx="2">
                  <c:v>73222000</c:v>
                </c:pt>
              </c:numCache>
            </c:numRef>
          </c:val>
          <c:extLst>
            <c:ext xmlns:c16="http://schemas.microsoft.com/office/drawing/2014/chart" uri="{C3380CC4-5D6E-409C-BE32-E72D297353CC}">
              <c16:uniqueId val="{00000001-E0AC-4FFA-B8C3-AB700BE8B2D0}"/>
            </c:ext>
          </c:extLst>
        </c:ser>
        <c:dLbls>
          <c:showLegendKey val="0"/>
          <c:showVal val="0"/>
          <c:showCatName val="0"/>
          <c:showSerName val="0"/>
          <c:showPercent val="0"/>
          <c:showBubbleSize val="0"/>
        </c:dLbls>
        <c:gapWidth val="150"/>
        <c:axId val="292294488"/>
        <c:axId val="292291744"/>
      </c:barChart>
      <c:lineChart>
        <c:grouping val="standard"/>
        <c:varyColors val="0"/>
        <c:ser>
          <c:idx val="2"/>
          <c:order val="2"/>
          <c:tx>
            <c:strRef>
              <c:f>Sheet1!$D$1</c:f>
              <c:strCache>
                <c:ptCount val="1"/>
                <c:pt idx="0">
                  <c:v>Udio [%]</c:v>
                </c:pt>
              </c:strCache>
            </c:strRef>
          </c:tx>
          <c:spPr>
            <a:ln w="28575" cap="rnd">
              <a:solidFill>
                <a:schemeClr val="accent3"/>
              </a:solidFill>
              <a:round/>
            </a:ln>
            <a:effectLst/>
          </c:spPr>
          <c:marker>
            <c:symbol val="none"/>
          </c:marker>
          <c:cat>
            <c:strRef>
              <c:f>Sheet1!$A$2:$A$4</c:f>
              <c:strCache>
                <c:ptCount val="3"/>
                <c:pt idx="0">
                  <c:v>2015.</c:v>
                </c:pt>
                <c:pt idx="1">
                  <c:v>2016.</c:v>
                </c:pt>
                <c:pt idx="2">
                  <c:v>2017.</c:v>
                </c:pt>
              </c:strCache>
            </c:strRef>
          </c:cat>
          <c:val>
            <c:numRef>
              <c:f>Sheet1!$D$2:$D$4</c:f>
              <c:numCache>
                <c:formatCode>0.00%</c:formatCode>
                <c:ptCount val="3"/>
                <c:pt idx="0">
                  <c:v>1</c:v>
                </c:pt>
                <c:pt idx="1">
                  <c:v>1</c:v>
                </c:pt>
                <c:pt idx="2">
                  <c:v>0.33388964888280892</c:v>
                </c:pt>
              </c:numCache>
            </c:numRef>
          </c:val>
          <c:smooth val="0"/>
          <c:extLst>
            <c:ext xmlns:c16="http://schemas.microsoft.com/office/drawing/2014/chart" uri="{C3380CC4-5D6E-409C-BE32-E72D297353CC}">
              <c16:uniqueId val="{00000002-E0AC-4FFA-B8C3-AB700BE8B2D0}"/>
            </c:ext>
          </c:extLst>
        </c:ser>
        <c:dLbls>
          <c:showLegendKey val="0"/>
          <c:showVal val="0"/>
          <c:showCatName val="0"/>
          <c:showSerName val="0"/>
          <c:showPercent val="0"/>
          <c:showBubbleSize val="0"/>
        </c:dLbls>
        <c:marker val="1"/>
        <c:smooth val="0"/>
        <c:axId val="136441000"/>
        <c:axId val="136440608"/>
      </c:lineChart>
      <c:catAx>
        <c:axId val="292294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92291744"/>
        <c:crosses val="autoZero"/>
        <c:auto val="1"/>
        <c:lblAlgn val="ctr"/>
        <c:lblOffset val="100"/>
        <c:noMultiLvlLbl val="0"/>
      </c:catAx>
      <c:valAx>
        <c:axId val="2922917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92294488"/>
        <c:crosses val="autoZero"/>
        <c:crossBetween val="between"/>
      </c:valAx>
      <c:valAx>
        <c:axId val="136440608"/>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6441000"/>
        <c:crosses val="max"/>
        <c:crossBetween val="between"/>
      </c:valAx>
      <c:catAx>
        <c:axId val="136441000"/>
        <c:scaling>
          <c:orientation val="minMax"/>
        </c:scaling>
        <c:delete val="1"/>
        <c:axPos val="b"/>
        <c:numFmt formatCode="General" sourceLinked="1"/>
        <c:majorTickMark val="none"/>
        <c:minorTickMark val="none"/>
        <c:tickLblPos val="nextTo"/>
        <c:crossAx val="136440608"/>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Broj igrača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manualLayout>
          <c:layoutTarget val="inner"/>
          <c:xMode val="edge"/>
          <c:yMode val="edge"/>
          <c:x val="0.10650004455905224"/>
          <c:y val="0.12533343651453888"/>
          <c:w val="0.84464229553005221"/>
          <c:h val="0.70026914297275245"/>
        </c:manualLayout>
      </c:layout>
      <c:lineChart>
        <c:grouping val="standard"/>
        <c:varyColors val="0"/>
        <c:ser>
          <c:idx val="0"/>
          <c:order val="0"/>
          <c:tx>
            <c:v>Aktivnih igrača</c:v>
          </c:tx>
          <c:spPr>
            <a:ln w="28575" cap="rnd">
              <a:solidFill>
                <a:schemeClr val="accent1"/>
              </a:solidFill>
              <a:round/>
            </a:ln>
            <a:effectLst/>
          </c:spPr>
          <c:marker>
            <c:symbol val="none"/>
          </c:marker>
          <c:dPt>
            <c:idx val="5"/>
            <c:marker>
              <c:symbol val="none"/>
            </c:marker>
            <c:bubble3D val="0"/>
            <c:extLst>
              <c:ext xmlns:c16="http://schemas.microsoft.com/office/drawing/2014/chart" uri="{C3380CC4-5D6E-409C-BE32-E72D297353CC}">
                <c16:uniqueId val="{00000000-ABC7-4BE8-AA85-C3029232244B}"/>
              </c:ext>
            </c:extLst>
          </c:dPt>
          <c:dPt>
            <c:idx val="6"/>
            <c:marker>
              <c:symbol val="none"/>
            </c:marker>
            <c:bubble3D val="0"/>
            <c:extLst>
              <c:ext xmlns:c16="http://schemas.microsoft.com/office/drawing/2014/chart" uri="{C3380CC4-5D6E-409C-BE32-E72D297353CC}">
                <c16:uniqueId val="{00000001-ABC7-4BE8-AA85-C3029232244B}"/>
              </c:ext>
            </c:extLst>
          </c:dPt>
          <c:dPt>
            <c:idx val="7"/>
            <c:marker>
              <c:symbol val="none"/>
            </c:marker>
            <c:bubble3D val="0"/>
            <c:extLst>
              <c:ext xmlns:c16="http://schemas.microsoft.com/office/drawing/2014/chart" uri="{C3380CC4-5D6E-409C-BE32-E72D297353CC}">
                <c16:uniqueId val="{00000002-ABC7-4BE8-AA85-C3029232244B}"/>
              </c:ext>
            </c:extLst>
          </c:dPt>
          <c:dPt>
            <c:idx val="8"/>
            <c:marker>
              <c:symbol val="none"/>
            </c:marker>
            <c:bubble3D val="0"/>
            <c:spPr>
              <a:ln w="28575" cap="rnd">
                <a:solidFill>
                  <a:schemeClr val="accent1"/>
                </a:solidFill>
                <a:round/>
              </a:ln>
              <a:effectLst/>
            </c:spPr>
            <c:extLst>
              <c:ext xmlns:c16="http://schemas.microsoft.com/office/drawing/2014/chart" uri="{C3380CC4-5D6E-409C-BE32-E72D297353CC}">
                <c16:uniqueId val="{00000004-ABC7-4BE8-AA85-C3029232244B}"/>
              </c:ext>
            </c:extLst>
          </c:dPt>
          <c:dPt>
            <c:idx val="9"/>
            <c:marker>
              <c:symbol val="none"/>
            </c:marker>
            <c:bubble3D val="0"/>
            <c:spPr>
              <a:ln w="28575" cap="rnd">
                <a:solidFill>
                  <a:schemeClr val="accent1"/>
                </a:solidFill>
                <a:round/>
              </a:ln>
              <a:effectLst/>
            </c:spPr>
            <c:extLst>
              <c:ext xmlns:c16="http://schemas.microsoft.com/office/drawing/2014/chart" uri="{C3380CC4-5D6E-409C-BE32-E72D297353CC}">
                <c16:uniqueId val="{00000006-ABC7-4BE8-AA85-C3029232244B}"/>
              </c:ext>
            </c:extLst>
          </c:dPt>
          <c:dLbls>
            <c:dLbl>
              <c:idx val="0"/>
              <c:layout>
                <c:manualLayout>
                  <c:x val="-2.8540386700028508E-2"/>
                  <c:y val="1.16986252659241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BC7-4BE8-AA85-C3029232244B}"/>
                </c:ext>
              </c:extLst>
            </c:dLbl>
            <c:dLbl>
              <c:idx val="1"/>
              <c:layout>
                <c:manualLayout>
                  <c:x val="-3.3271167901397981E-2"/>
                  <c:y val="2.4675526381937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BC7-4BE8-AA85-C302923224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'Broj igrača'!$B$2:$K$2</c:f>
              <c:strCache>
                <c:ptCount val="10"/>
                <c:pt idx="0">
                  <c:v>2010</c:v>
                </c:pt>
                <c:pt idx="1">
                  <c:v>2011</c:v>
                </c:pt>
                <c:pt idx="2">
                  <c:v>2012</c:v>
                </c:pt>
                <c:pt idx="3">
                  <c:v>2013</c:v>
                </c:pt>
                <c:pt idx="4">
                  <c:v>2014</c:v>
                </c:pt>
                <c:pt idx="5">
                  <c:v>2015</c:v>
                </c:pt>
                <c:pt idx="6">
                  <c:v>2016</c:v>
                </c:pt>
                <c:pt idx="7">
                  <c:v>2017</c:v>
                </c:pt>
                <c:pt idx="8">
                  <c:v>2018/do 10. mj.</c:v>
                </c:pt>
                <c:pt idx="9">
                  <c:v>Plan 2018</c:v>
                </c:pt>
              </c:strCache>
            </c:strRef>
          </c:cat>
          <c:val>
            <c:numRef>
              <c:f>'Broj igrača'!$B$19:$J$19</c:f>
              <c:numCache>
                <c:formatCode>#,##0</c:formatCode>
                <c:ptCount val="9"/>
                <c:pt idx="0">
                  <c:v>9613</c:v>
                </c:pt>
                <c:pt idx="1">
                  <c:v>33047</c:v>
                </c:pt>
                <c:pt idx="2">
                  <c:v>49031</c:v>
                </c:pt>
                <c:pt idx="3">
                  <c:v>64095</c:v>
                </c:pt>
                <c:pt idx="4">
                  <c:v>95088</c:v>
                </c:pt>
                <c:pt idx="5">
                  <c:v>107173</c:v>
                </c:pt>
                <c:pt idx="6">
                  <c:v>119073</c:v>
                </c:pt>
                <c:pt idx="7">
                  <c:v>112537</c:v>
                </c:pt>
                <c:pt idx="8">
                  <c:v>124814</c:v>
                </c:pt>
              </c:numCache>
            </c:numRef>
          </c:val>
          <c:smooth val="0"/>
          <c:extLst>
            <c:ext xmlns:c16="http://schemas.microsoft.com/office/drawing/2014/chart" uri="{C3380CC4-5D6E-409C-BE32-E72D297353CC}">
              <c16:uniqueId val="{00000007-ABC7-4BE8-AA85-C3029232244B}"/>
            </c:ext>
          </c:extLst>
        </c:ser>
        <c:ser>
          <c:idx val="1"/>
          <c:order val="1"/>
          <c:tx>
            <c:strRef>
              <c:f>'Broj igrača'!$A$20</c:f>
              <c:strCache>
                <c:ptCount val="1"/>
                <c:pt idx="0">
                  <c:v>Novih registracija</c:v>
                </c:pt>
              </c:strCache>
            </c:strRef>
          </c:tx>
          <c:spPr>
            <a:ln w="28575" cap="rnd">
              <a:solidFill>
                <a:schemeClr val="accent2"/>
              </a:solidFill>
              <a:round/>
            </a:ln>
            <a:effectLst/>
          </c:spPr>
          <c:marker>
            <c:symbol val="none"/>
          </c:marker>
          <c:dPt>
            <c:idx val="5"/>
            <c:marker>
              <c:symbol val="none"/>
            </c:marker>
            <c:bubble3D val="0"/>
            <c:extLst>
              <c:ext xmlns:c16="http://schemas.microsoft.com/office/drawing/2014/chart" uri="{C3380CC4-5D6E-409C-BE32-E72D297353CC}">
                <c16:uniqueId val="{00000008-ABC7-4BE8-AA85-C3029232244B}"/>
              </c:ext>
            </c:extLst>
          </c:dPt>
          <c:dPt>
            <c:idx val="6"/>
            <c:marker>
              <c:symbol val="none"/>
            </c:marker>
            <c:bubble3D val="0"/>
            <c:extLst>
              <c:ext xmlns:c16="http://schemas.microsoft.com/office/drawing/2014/chart" uri="{C3380CC4-5D6E-409C-BE32-E72D297353CC}">
                <c16:uniqueId val="{00000009-ABC7-4BE8-AA85-C3029232244B}"/>
              </c:ext>
            </c:extLst>
          </c:dPt>
          <c:dPt>
            <c:idx val="7"/>
            <c:marker>
              <c:symbol val="none"/>
            </c:marker>
            <c:bubble3D val="0"/>
            <c:extLst>
              <c:ext xmlns:c16="http://schemas.microsoft.com/office/drawing/2014/chart" uri="{C3380CC4-5D6E-409C-BE32-E72D297353CC}">
                <c16:uniqueId val="{0000000A-ABC7-4BE8-AA85-C3029232244B}"/>
              </c:ext>
            </c:extLst>
          </c:dPt>
          <c:dPt>
            <c:idx val="8"/>
            <c:marker>
              <c:symbol val="none"/>
            </c:marker>
            <c:bubble3D val="0"/>
            <c:spPr>
              <a:ln w="28575" cap="rnd">
                <a:solidFill>
                  <a:schemeClr val="accent2"/>
                </a:solidFill>
                <a:round/>
              </a:ln>
              <a:effectLst/>
            </c:spPr>
            <c:extLst>
              <c:ext xmlns:c16="http://schemas.microsoft.com/office/drawing/2014/chart" uri="{C3380CC4-5D6E-409C-BE32-E72D297353CC}">
                <c16:uniqueId val="{0000000C-ABC7-4BE8-AA85-C3029232244B}"/>
              </c:ext>
            </c:extLst>
          </c:dPt>
          <c:dPt>
            <c:idx val="9"/>
            <c:marker>
              <c:symbol val="none"/>
            </c:marker>
            <c:bubble3D val="0"/>
            <c:spPr>
              <a:ln w="28575" cap="rnd">
                <a:solidFill>
                  <a:schemeClr val="accent2"/>
                </a:solidFill>
                <a:round/>
              </a:ln>
              <a:effectLst/>
            </c:spPr>
            <c:extLst>
              <c:ext xmlns:c16="http://schemas.microsoft.com/office/drawing/2014/chart" uri="{C3380CC4-5D6E-409C-BE32-E72D297353CC}">
                <c16:uniqueId val="{0000000E-ABC7-4BE8-AA85-C3029232244B}"/>
              </c:ext>
            </c:extLst>
          </c:dPt>
          <c:dLbls>
            <c:dLbl>
              <c:idx val="1"/>
              <c:layout>
                <c:manualLayout>
                  <c:x val="-4.6758125822507483E-2"/>
                  <c:y val="-1.35489065683555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r"/>
              <c:showLegendKey val="0"/>
              <c:showVal val="1"/>
              <c:showCatName val="0"/>
              <c:showSerName val="0"/>
              <c:showPercent val="0"/>
              <c:showBubbleSize val="0"/>
              <c:extLst>
                <c:ext xmlns:c15="http://schemas.microsoft.com/office/drawing/2012/chart" uri="{CE6537A1-D6FC-4f65-9D91-7224C49458BB}">
                  <c15:layout>
                    <c:manualLayout>
                      <c:w val="7.0691980495902057E-2"/>
                      <c:h val="2.8510353932205398E-2"/>
                    </c:manualLayout>
                  </c15:layout>
                </c:ext>
                <c:ext xmlns:c16="http://schemas.microsoft.com/office/drawing/2014/chart" uri="{C3380CC4-5D6E-409C-BE32-E72D297353CC}">
                  <c16:uniqueId val="{0000001A-ABC7-4BE8-AA85-C302923224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'Broj igrača'!$B$2:$K$2</c:f>
              <c:strCache>
                <c:ptCount val="10"/>
                <c:pt idx="0">
                  <c:v>2010</c:v>
                </c:pt>
                <c:pt idx="1">
                  <c:v>2011</c:v>
                </c:pt>
                <c:pt idx="2">
                  <c:v>2012</c:v>
                </c:pt>
                <c:pt idx="3">
                  <c:v>2013</c:v>
                </c:pt>
                <c:pt idx="4">
                  <c:v>2014</c:v>
                </c:pt>
                <c:pt idx="5">
                  <c:v>2015</c:v>
                </c:pt>
                <c:pt idx="6">
                  <c:v>2016</c:v>
                </c:pt>
                <c:pt idx="7">
                  <c:v>2017</c:v>
                </c:pt>
                <c:pt idx="8">
                  <c:v>2018/do 10. mj.</c:v>
                </c:pt>
                <c:pt idx="9">
                  <c:v>Plan 2018</c:v>
                </c:pt>
              </c:strCache>
            </c:strRef>
          </c:cat>
          <c:val>
            <c:numRef>
              <c:f>'Broj igrača'!$B$20:$J$20</c:f>
              <c:numCache>
                <c:formatCode>#,##0</c:formatCode>
                <c:ptCount val="9"/>
                <c:pt idx="0">
                  <c:v>15165</c:v>
                </c:pt>
                <c:pt idx="1">
                  <c:v>40069</c:v>
                </c:pt>
                <c:pt idx="2">
                  <c:v>30354</c:v>
                </c:pt>
                <c:pt idx="3">
                  <c:v>45483</c:v>
                </c:pt>
                <c:pt idx="4">
                  <c:v>42215</c:v>
                </c:pt>
                <c:pt idx="5">
                  <c:v>51109</c:v>
                </c:pt>
                <c:pt idx="6">
                  <c:v>51034</c:v>
                </c:pt>
                <c:pt idx="7">
                  <c:v>38218</c:v>
                </c:pt>
                <c:pt idx="8">
                  <c:v>34290</c:v>
                </c:pt>
              </c:numCache>
            </c:numRef>
          </c:val>
          <c:smooth val="0"/>
          <c:extLst>
            <c:ext xmlns:c16="http://schemas.microsoft.com/office/drawing/2014/chart" uri="{C3380CC4-5D6E-409C-BE32-E72D297353CC}">
              <c16:uniqueId val="{00000010-ABC7-4BE8-AA85-C3029232244B}"/>
            </c:ext>
          </c:extLst>
        </c:ser>
        <c:dLbls>
          <c:showLegendKey val="0"/>
          <c:showVal val="0"/>
          <c:showCatName val="0"/>
          <c:showSerName val="0"/>
          <c:showPercent val="0"/>
          <c:showBubbleSize val="0"/>
        </c:dLbls>
        <c:smooth val="0"/>
        <c:axId val="332704848"/>
        <c:axId val="332709552"/>
      </c:lineChart>
      <c:catAx>
        <c:axId val="33270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2709552"/>
        <c:crosses val="autoZero"/>
        <c:auto val="1"/>
        <c:lblAlgn val="ctr"/>
        <c:lblOffset val="100"/>
        <c:noMultiLvlLbl val="0"/>
      </c:catAx>
      <c:valAx>
        <c:axId val="332709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Broj igrača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2704848"/>
        <c:crosses val="autoZero"/>
        <c:crossBetween val="between"/>
      </c:valAx>
      <c:spPr>
        <a:noFill/>
        <a:ln>
          <a:noFill/>
        </a:ln>
        <a:effectLst/>
      </c:spPr>
    </c:plotArea>
    <c:legend>
      <c:legendPos val="b"/>
      <c:layout>
        <c:manualLayout>
          <c:xMode val="edge"/>
          <c:yMode val="edge"/>
          <c:x val="0.2959613708417167"/>
          <c:y val="0.88796130466815593"/>
          <c:w val="0.41222706638794332"/>
          <c:h val="7.75154713377869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0BBF2-884F-4B6B-93E2-C77D6E6E6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F57F0-7E03-45C7-9376-2B5B5F48D04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BABC43A-E2E7-4408-8EB6-50E0FB9E648C}">
  <ds:schemaRefs>
    <ds:schemaRef ds:uri="http://schemas.microsoft.com/sharepoint/v3/contenttype/forms"/>
  </ds:schemaRefs>
</ds:datastoreItem>
</file>

<file path=customXml/itemProps4.xml><?xml version="1.0" encoding="utf-8"?>
<ds:datastoreItem xmlns:ds="http://schemas.openxmlformats.org/officeDocument/2006/customXml" ds:itemID="{7745B133-02F1-4093-90AE-39A992A15A67}">
  <ds:schemaRefs>
    <ds:schemaRef ds:uri="http://schemas.microsoft.com/sharepoint/events"/>
  </ds:schemaRefs>
</ds:datastoreItem>
</file>

<file path=customXml/itemProps5.xml><?xml version="1.0" encoding="utf-8"?>
<ds:datastoreItem xmlns:ds="http://schemas.openxmlformats.org/officeDocument/2006/customXml" ds:itemID="{9CC28864-1863-41C8-9FA6-3D84EE36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13918</Words>
  <Characters>79336</Characters>
  <Application>Microsoft Office Word</Application>
  <DocSecurity>8</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Licul Kikaš</dc:creator>
  <cp:keywords/>
  <dc:description/>
  <cp:lastModifiedBy>Vlatka Šelimber</cp:lastModifiedBy>
  <cp:revision>2</cp:revision>
  <cp:lastPrinted>2018-12-06T09:42:00Z</cp:lastPrinted>
  <dcterms:created xsi:type="dcterms:W3CDTF">2019-09-05T07:27:00Z</dcterms:created>
  <dcterms:modified xsi:type="dcterms:W3CDTF">2019-09-05T07:27:00Z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